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41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97"/>
        <w:gridCol w:w="6379"/>
        <w:gridCol w:w="1559"/>
        <w:gridCol w:w="1380"/>
      </w:tblGrid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0"/>
              <w:jc w:val="center"/>
              <w:spacing w:line="200" w:lineRule="exact"/>
              <w:rPr>
                <w:rStyle w:val="699"/>
                <w:rFonts w:cs="Times New Roman"/>
                <w:color w:val="000000"/>
                <w:sz w:val="24"/>
                <w:szCs w:val="24"/>
                <w:lang w:bidi="ru-RU"/>
              </w:rPr>
            </w:pPr>
            <w:r/>
            <w:bookmarkStart w:id="0" w:name="_GoBack"/>
            <w:r/>
            <w:bookmarkEnd w:id="0"/>
            <w:r>
              <w:rPr>
                <w:rStyle w:val="699"/>
                <w:rFonts w:cs="Times New Roman"/>
                <w:color w:val="000000"/>
                <w:sz w:val="24"/>
                <w:szCs w:val="24"/>
                <w:lang w:bidi="ru-RU"/>
              </w:rPr>
              <w:t xml:space="preserve">№ 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bidi="ru-RU"/>
              </w:rPr>
              <w:t xml:space="preserve">п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bidi="ru-RU"/>
              </w:rPr>
              <w:t xml:space="preserve">/п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0"/>
              <w:jc w:val="center"/>
              <w:spacing w:line="200" w:lineRule="exact"/>
              <w:rPr>
                <w:rStyle w:val="699"/>
                <w:rFonts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Style w:val="699"/>
                <w:rFonts w:cs="Times New Roman"/>
                <w:color w:val="000000"/>
                <w:sz w:val="24"/>
                <w:szCs w:val="24"/>
                <w:lang w:bidi="ru-RU"/>
              </w:rPr>
              <w:t xml:space="preserve">Наименование услуг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bidi="ru-RU"/>
              </w:rPr>
            </w:r>
          </w:p>
          <w:p>
            <w:pPr>
              <w:pStyle w:val="700"/>
              <w:jc w:val="center"/>
              <w:spacing w:line="200" w:lineRule="exact"/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color w:val="000000"/>
                <w:sz w:val="24"/>
                <w:szCs w:val="24"/>
                <w:lang w:bidi="ru-RU"/>
              </w:rPr>
              <w:t xml:space="preserve">в области таможенного законодательства РФ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0"/>
              <w:jc w:val="center"/>
              <w:spacing w:line="220" w:lineRule="exac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Ед.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 xml:space="preserve">изм.</w:t>
            </w:r>
            <w:r>
              <w:rPr>
                <w:rFonts w:cs="Times New Roman"/>
                <w:b/>
                <w:sz w:val="24"/>
                <w:szCs w:val="24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0"/>
              <w:jc w:val="center"/>
              <w:spacing w:line="220" w:lineRule="exac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Цена в рублях </w:t>
            </w:r>
            <w:r>
              <w:rPr>
                <w:rFonts w:cs="Times New Roman"/>
                <w:b/>
                <w:sz w:val="24"/>
                <w:szCs w:val="24"/>
              </w:rPr>
              <w:t xml:space="preserve">с учетом 5%</w:t>
            </w:r>
            <w:r>
              <w:rPr>
                <w:rFonts w:cs="Times New Roman"/>
                <w:b/>
                <w:sz w:val="24"/>
                <w:szCs w:val="24"/>
              </w:rPr>
              <w:t xml:space="preserve"> НДС</w:t>
            </w:r>
            <w:r>
              <w:rPr>
                <w:rFonts w:cs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445"/>
        </w:trPr>
        <w:tc>
          <w:tcPr>
            <w:shd w:val="clear" w:color="auto" w:fill="d9d9d9" w:themeFill="background1" w:themeFillShade="D9"/>
            <w:tcW w:w="1097" w:type="dxa"/>
            <w:vAlign w:val="center"/>
            <w:textDirection w:val="lrTb"/>
            <w:noWrap w:val="false"/>
          </w:tcPr>
          <w:p>
            <w:pPr>
              <w:pStyle w:val="706"/>
              <w:rPr>
                <w:rStyle w:val="698"/>
                <w:sz w:val="24"/>
                <w:szCs w:val="21"/>
              </w:rPr>
            </w:pPr>
            <w:r>
              <w:rPr>
                <w:rStyle w:val="698"/>
                <w:sz w:val="24"/>
                <w:szCs w:val="21"/>
              </w:rPr>
              <w:t xml:space="preserve">1</w:t>
            </w:r>
            <w:r>
              <w:rPr>
                <w:rStyle w:val="698"/>
                <w:sz w:val="24"/>
                <w:szCs w:val="21"/>
              </w:rPr>
              <w:t xml:space="preserve">.</w:t>
            </w:r>
            <w:r>
              <w:rPr>
                <w:rStyle w:val="698"/>
                <w:sz w:val="24"/>
                <w:szCs w:val="21"/>
              </w:rPr>
            </w:r>
          </w:p>
        </w:tc>
        <w:tc>
          <w:tcPr>
            <w:gridSpan w:val="3"/>
            <w:shd w:val="clear" w:color="auto" w:fill="d9d9d9" w:themeFill="background1" w:themeFillShade="D9"/>
            <w:tcW w:w="9318" w:type="dxa"/>
            <w:vAlign w:val="center"/>
            <w:textDirection w:val="lrTb"/>
            <w:noWrap w:val="false"/>
          </w:tcPr>
          <w:p>
            <w:pPr>
              <w:pStyle w:val="706"/>
            </w:pPr>
            <w:r>
              <w:rPr>
                <w:rStyle w:val="699"/>
                <w:sz w:val="24"/>
                <w:szCs w:val="21"/>
              </w:rPr>
              <w:t xml:space="preserve">Подбор кода ТН ВЭД</w:t>
            </w:r>
            <w:r>
              <w:rPr>
                <w:rStyle w:val="699"/>
                <w:sz w:val="24"/>
                <w:szCs w:val="21"/>
              </w:rPr>
              <w:t xml:space="preserve"> ЕАЭС для декларирования товара </w:t>
            </w:r>
            <w:r>
              <w:rPr>
                <w:rStyle w:val="699"/>
                <w:sz w:val="24"/>
                <w:szCs w:val="21"/>
              </w:rPr>
              <w:t xml:space="preserve"> </w:t>
            </w:r>
            <w:r/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1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.1.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По информации предоставленной Заказчиком по товару 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(описание товара, область применения и назначения, артикул, материал изготовления, Производитель, страна, ТМ, фото товара, техническая документация и т.п.)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rStyle w:val="699"/>
                <w:b w:val="0"/>
                <w:sz w:val="24"/>
                <w:szCs w:val="21"/>
              </w:rPr>
              <w:t xml:space="preserve">т</w:t>
            </w:r>
            <w:r>
              <w:rPr>
                <w:bCs/>
              </w:rPr>
              <w:t xml:space="preserve">ова</w:t>
            </w:r>
            <w:r>
              <w:rPr>
                <w:bCs/>
              </w:rPr>
              <w:t xml:space="preserve">рн</w:t>
            </w:r>
            <w:r>
              <w:rPr>
                <w:bCs/>
              </w:rPr>
              <w:t xml:space="preserve">ая</w:t>
            </w:r>
            <w:r>
              <w:rPr>
                <w:bCs/>
              </w:rPr>
              <w:t xml:space="preserve"> позици</w:t>
            </w:r>
            <w:r>
              <w:rPr>
                <w:bCs/>
              </w:rPr>
              <w:t xml:space="preserve">я</w:t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550</w:t>
            </w:r>
            <w:r>
              <w:rPr>
                <w:bCs/>
              </w:rPr>
              <w:t xml:space="preserve">,00</w:t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 w:bidi="ru-RU"/>
              </w:rPr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i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Услуга включает в себя: код ТНВЭД, требования к 31 графе (если имеется), пошлина, НДС, экологический сбор иное по требованию кода</w:t>
            </w:r>
            <w:r>
              <w:rPr>
                <w:rStyle w:val="699"/>
                <w:rFonts w:cs="Times New Roman"/>
                <w:b w:val="0"/>
                <w:i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1.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2.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По краткой информации предоставленной Заказчиком по товару  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pStyle w:val="706"/>
              <w:jc w:val="both"/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(наименование товара, артикул, модель, страна)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rStyle w:val="699"/>
                <w:sz w:val="24"/>
                <w:szCs w:val="21"/>
              </w:rPr>
              <w:t xml:space="preserve">т</w:t>
            </w:r>
            <w:r>
              <w:rPr>
                <w:bCs/>
              </w:rPr>
              <w:t xml:space="preserve">оварн</w:t>
            </w:r>
            <w:r>
              <w:rPr>
                <w:bCs/>
              </w:rPr>
              <w:t xml:space="preserve">ая</w:t>
            </w:r>
            <w:r>
              <w:rPr>
                <w:bCs/>
              </w:rPr>
              <w:t xml:space="preserve"> позици</w:t>
            </w:r>
            <w:r>
              <w:rPr>
                <w:bCs/>
              </w:rPr>
              <w:t xml:space="preserve">я</w:t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1</w:t>
            </w:r>
            <w:r>
              <w:rPr>
                <w:bCs/>
              </w:rPr>
              <w:t xml:space="preserve">500</w:t>
            </w:r>
            <w:r>
              <w:rPr>
                <w:bCs/>
              </w:rPr>
              <w:t xml:space="preserve">,00</w:t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 w:bidi="ru-RU"/>
              </w:rPr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i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Услуга включает в себя поиск описания товара через интернет ресурсы, код ТНВЭД,  требования к 31 графе (если имеется), пошлина, НДС, экологический сбор иное по требованию кода</w:t>
            </w:r>
            <w:r>
              <w:rPr>
                <w:rStyle w:val="699"/>
                <w:rFonts w:cs="Times New Roman"/>
                <w:b w:val="0"/>
                <w:i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1.3.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Технологическое оборудование по 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информации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 предоставленной Заказчиком по товару *                              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(описание товара и его состав, принцип действия, область применения и назначения, артикул, материал изготовления, Производитель, страна, ТМ, фото товара, техническая документация)</w:t>
            </w: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rStyle w:val="699"/>
                <w:sz w:val="24"/>
                <w:szCs w:val="21"/>
              </w:rPr>
              <w:t xml:space="preserve">т</w:t>
            </w:r>
            <w:r>
              <w:rPr>
                <w:bCs/>
              </w:rPr>
              <w:t xml:space="preserve">оварн</w:t>
            </w:r>
            <w:r>
              <w:rPr>
                <w:bCs/>
              </w:rPr>
              <w:t xml:space="preserve">ая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партия</w:t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rPr>
                <w:bCs/>
              </w:rPr>
            </w:pPr>
            <w:r>
              <w:rPr>
                <w:bCs/>
              </w:rPr>
              <w:t xml:space="preserve">5000,00</w:t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 w:bidi="ru-RU"/>
              </w:rPr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Услуга включает в себя: код ТНВЭД, требования к 31 графе (если имеется), пошлина, НДС, экологический сбор иное по требованию кода, рекомендации для организации поставки</w:t>
            </w: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jc w:val="center"/>
          <w:trHeight w:val="318"/>
        </w:trPr>
        <w:tc>
          <w:tcPr>
            <w:gridSpan w:val="4"/>
            <w:shd w:val="clear" w:color="auto" w:fill="ffffff" w:themeFill="background1"/>
            <w:tcW w:w="10415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Cs/>
                <w:color w:val="000000"/>
                <w:sz w:val="12"/>
                <w:szCs w:val="24"/>
                <w:lang w:eastAsia="ru-RU" w:bidi="ru-RU"/>
              </w:rPr>
            </w:pPr>
            <w:r>
              <w:rPr>
                <w:rFonts w:cs="Times New Roman"/>
                <w:bCs/>
                <w:color w:val="000000"/>
                <w:sz w:val="12"/>
                <w:szCs w:val="24"/>
                <w:lang w:eastAsia="ru-RU" w:bidi="ru-RU"/>
              </w:rPr>
            </w:r>
            <w:r>
              <w:rPr>
                <w:rStyle w:val="699"/>
                <w:rFonts w:cs="Times New Roman"/>
                <w:bCs/>
                <w:color w:val="000000"/>
                <w:sz w:val="12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d9d9d9" w:themeFill="background1" w:themeFillShade="D9"/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2.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gridSpan w:val="3"/>
            <w:shd w:val="clear" w:color="auto" w:fill="d9d9d9" w:themeFill="background1" w:themeFillShade="D9"/>
            <w:tcW w:w="9318" w:type="dxa"/>
            <w:vAlign w:val="bottom"/>
            <w:textDirection w:val="lrTb"/>
            <w:noWrap w:val="false"/>
          </w:tcPr>
          <w:p>
            <w:pPr>
              <w:pStyle w:val="706"/>
              <w:jc w:val="both"/>
              <w:rPr>
                <w:bCs/>
              </w:rPr>
            </w:pPr>
            <w:r>
              <w:rPr>
                <w:rStyle w:val="699"/>
                <w:rFonts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Консультирование о применении мер нетарифного регулирования (разрешительные документы для ввоза/вывоза):</w:t>
            </w:r>
            <w:r>
              <w:rPr>
                <w:bCs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W w:w="1097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2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.1.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Справка по товару о технических регламентах (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ТР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 ТС), лицензий, нотификаций и иное.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bCs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код ТН ВЭД ЕАЭС</w:t>
            </w:r>
            <w:r>
              <w:rPr>
                <w:bCs/>
                <w:lang w:eastAsia="ru-RU" w:bidi="ru-RU"/>
              </w:rPr>
            </w:r>
          </w:p>
        </w:tc>
        <w:tc>
          <w:tcPr>
            <w:tcW w:w="1380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300</w:t>
            </w:r>
            <w:r>
              <w:rPr>
                <w:bCs/>
              </w:rPr>
              <w:t xml:space="preserve">,00</w:t>
            </w:r>
            <w:r>
              <w:rPr>
                <w:bCs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W w:w="1097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 w:bidi="ru-RU"/>
              </w:rPr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Справка по товару касательно мер нетарифного регулирования (какие разрешительные документы требуются для ввоза/вывоза)</w:t>
            </w: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380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W w:w="1097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2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.2.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Расширенный поиск по разрешительным документам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товарная позиция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380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1500,00</w:t>
            </w:r>
            <w:r>
              <w:rPr>
                <w:bCs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W w:w="1097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 w:bidi="ru-RU"/>
              </w:rPr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Поиск </w:t>
            </w: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имеющихся</w:t>
            </w: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 разрешительным документам (по Производителю, артикулу и т.п.)</w:t>
            </w: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380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jc w:val="center"/>
          <w:trHeight w:val="277"/>
        </w:trPr>
        <w:tc>
          <w:tcPr>
            <w:gridSpan w:val="4"/>
            <w:shd w:val="clear" w:color="auto" w:fill="ffffff" w:themeFill="background1"/>
            <w:tcW w:w="10415" w:type="dxa"/>
            <w:vAlign w:val="center"/>
            <w:textDirection w:val="lrTb"/>
            <w:noWrap w:val="false"/>
          </w:tcPr>
          <w:p>
            <w:pPr>
              <w:pStyle w:val="706"/>
              <w:rPr>
                <w:rStyle w:val="699"/>
                <w:rFonts w:cs="Times New Roman"/>
                <w:bCs/>
                <w:color w:val="000000"/>
                <w:sz w:val="14"/>
                <w:szCs w:val="24"/>
                <w:lang w:eastAsia="ru-RU" w:bidi="ru-RU"/>
              </w:rPr>
            </w:pPr>
            <w:r>
              <w:rPr>
                <w:rFonts w:cs="Times New Roman"/>
                <w:bCs/>
                <w:color w:val="000000"/>
                <w:sz w:val="14"/>
                <w:szCs w:val="24"/>
                <w:lang w:eastAsia="ru-RU" w:bidi="ru-RU"/>
              </w:rPr>
            </w:r>
            <w:r>
              <w:rPr>
                <w:rStyle w:val="699"/>
                <w:rFonts w:cs="Times New Roman"/>
                <w:bCs/>
                <w:color w:val="000000"/>
                <w:sz w:val="1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d9d9d9" w:themeFill="background1" w:themeFillShade="D9"/>
            <w:tcW w:w="1097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3.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gridSpan w:val="3"/>
            <w:shd w:val="clear" w:color="auto" w:fill="d9d9d9" w:themeFill="background1" w:themeFillShade="D9"/>
            <w:tcBorders>
              <w:bottom w:val="none" w:color="000000" w:sz="4" w:space="0"/>
            </w:tcBorders>
            <w:tcW w:w="9318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Проведение анализа поставляемого товара на основании предоставленных Заказчиком документов                            </w:t>
            </w:r>
            <w:r>
              <w:rPr>
                <w:b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d9d9d9" w:themeFill="background1" w:themeFillShade="D9"/>
            <w:tcBorders>
              <w:right w:val="single" w:color="auto" w:sz="4" w:space="0"/>
            </w:tcBorders>
            <w:tcW w:w="1097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 w:bidi="ru-RU"/>
              </w:rPr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gridSpan w:val="3"/>
            <w:shd w:val="clear" w:color="auto" w:fill="d9d9d9" w:themeFill="background1" w:themeFillShade="D9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18" w:type="dxa"/>
            <w:textDirection w:val="lrTb"/>
            <w:noWrap w:val="false"/>
          </w:tcPr>
          <w:p>
            <w:pPr>
              <w:jc w:val="both"/>
              <w:rPr>
                <w:i/>
              </w:rPr>
            </w:pPr>
            <w:r>
              <w:rPr>
                <w:i/>
              </w:rPr>
              <w:t xml:space="preserve">Услуга в</w:t>
            </w:r>
            <w:r>
              <w:rPr>
                <w:i/>
              </w:rPr>
              <w:t xml:space="preserve">ключает в себя анализ поставляемого товара на основании документов, предоставленных Заказчиком, с целью определения необходимого перечня документов для таможенного оформления, в соответствии с выбранной Заказчиком таможенной процедурой и работ по п.1 и п.2</w:t>
            </w:r>
            <w:r>
              <w:rPr>
                <w:i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3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.1.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Borders>
              <w:top w:val="single" w:color="auto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pStyle w:val="706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для общих товаров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Borders>
              <w:top w:val="single" w:color="auto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т</w:t>
            </w:r>
            <w:r>
              <w:rPr>
                <w:bCs/>
              </w:rPr>
              <w:t xml:space="preserve">оварная партия</w:t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9800</w:t>
            </w:r>
            <w:r>
              <w:rPr>
                <w:bCs/>
              </w:rPr>
              <w:t xml:space="preserve">,00</w:t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3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.2.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bottom"/>
            <w:textDirection w:val="lrTb"/>
            <w:noWrap w:val="false"/>
          </w:tcPr>
          <w:p>
            <w:pPr>
              <w:pStyle w:val="706"/>
              <w:jc w:val="both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для технологического оборудования (перемещаемого в одном транспортном средстве)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10800</w:t>
            </w:r>
            <w:r>
              <w:rPr>
                <w:bCs/>
              </w:rPr>
              <w:t xml:space="preserve">,00</w:t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3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.3.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bottom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для технологического оборудования в частично разобранном виде (перемещаемого в нескольких транспортных средствах)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pStyle w:val="706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15000</w:t>
            </w:r>
            <w:r>
              <w:rPr>
                <w:bCs/>
              </w:rPr>
              <w:t xml:space="preserve">,00</w:t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 w:bidi="ru-RU"/>
              </w:rPr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bottom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Развернутый анализ сделки, с комментариями по документам для ввоза и товару, реком</w:t>
            </w: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ен</w:t>
            </w: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дациями и описанием возможных рисков для участника ВЭД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.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gridSpan w:val="4"/>
            <w:shd w:val="clear" w:color="auto" w:fill="ffffff" w:themeFill="background1"/>
            <w:tcW w:w="10415" w:type="dxa"/>
            <w:vAlign w:val="center"/>
            <w:textDirection w:val="lrTb"/>
            <w:noWrap w:val="false"/>
          </w:tcPr>
          <w:p>
            <w:pPr>
              <w:pStyle w:val="706"/>
              <w:rPr>
                <w:rStyle w:val="698"/>
                <w:rFonts w:cs="Times New Roman"/>
                <w:b/>
                <w:color w:val="000000"/>
                <w:sz w:val="14"/>
                <w:szCs w:val="24"/>
                <w:lang w:eastAsia="ru-RU" w:bidi="ru-RU"/>
              </w:rPr>
            </w:pPr>
            <w:r>
              <w:rPr>
                <w:rFonts w:cs="Times New Roman"/>
                <w:b/>
                <w:color w:val="000000"/>
                <w:sz w:val="14"/>
                <w:szCs w:val="24"/>
                <w:lang w:eastAsia="ru-RU" w:bidi="ru-RU"/>
              </w:rPr>
            </w:r>
            <w:r>
              <w:rPr>
                <w:rStyle w:val="698"/>
                <w:rFonts w:cs="Times New Roman"/>
                <w:b/>
                <w:color w:val="000000"/>
                <w:sz w:val="1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d9d9d9" w:themeFill="background1" w:themeFillShade="D9"/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4.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gridSpan w:val="3"/>
            <w:shd w:val="clear" w:color="auto" w:fill="d9d9d9" w:themeFill="background1" w:themeFillShade="D9"/>
            <w:tcW w:w="9318" w:type="dxa"/>
            <w:textDirection w:val="lrTb"/>
            <w:noWrap w:val="false"/>
          </w:tcPr>
          <w:p>
            <w:pPr>
              <w:pStyle w:val="706"/>
              <w:jc w:val="both"/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Консультация по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подготовке сопроводительн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ых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пис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ем, документов и иных вопросов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pStyle w:val="706"/>
              <w:jc w:val="both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4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1.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Помощь в подготовке сопроводительного письма для организации процесса декларирования товаров</w:t>
            </w:r>
            <w:r>
              <w:rPr>
                <w:rStyle w:val="699"/>
                <w:rFonts w:cs="Times New Roman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письмо</w:t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2800</w:t>
            </w:r>
            <w:r>
              <w:rPr>
                <w:bCs/>
              </w:rPr>
              <w:t xml:space="preserve">,00</w:t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4.2.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Помощь в заполнении документов для транспортировки товара: Инвойс, Упаковочный лист, 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val="en-US" w:eastAsia="ru-RU" w:bidi="ru-RU"/>
              </w:rPr>
              <w:t xml:space="preserve">CMR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/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val="en-US" w:eastAsia="ru-RU" w:bidi="ru-RU"/>
              </w:rPr>
              <w:t xml:space="preserve">AWB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/коносамент/СМГС (в зависимости от транспорта)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ТС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</w:pPr>
            <w:r>
              <w:t xml:space="preserve">3800</w:t>
            </w:r>
            <w:r>
              <w:t xml:space="preserve">,00</w:t>
            </w:r>
            <w:r/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4.3.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textDirection w:val="lrTb"/>
            <w:noWrap w:val="false"/>
          </w:tcPr>
          <w:p>
            <w:pPr>
              <w:pStyle w:val="706"/>
              <w:jc w:val="both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Предварительный расчет таможенных платежей по товарной партии, </w:t>
            </w:r>
            <w:r>
              <w:rPr>
                <w:rStyle w:val="699"/>
                <w:rFonts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на основании предоставленных Заказчиком информации </w:t>
            </w:r>
            <w:r>
              <w:rPr>
                <w:rStyle w:val="699"/>
                <w:rFonts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(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условия поставки, инвойс, расходы до границы ЕАЭС по транспортировки товара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)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услуга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500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,00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4.4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Помощь п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о подбору комплекта документов  в рамках дополнительной проверки со стороны таможенных органов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т</w:t>
            </w:r>
            <w:r>
              <w:rPr>
                <w:bCs/>
              </w:rPr>
              <w:t xml:space="preserve">оварная партия</w:t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7800</w:t>
            </w:r>
            <w:r>
              <w:rPr>
                <w:bCs/>
              </w:rPr>
              <w:t xml:space="preserve">,00</w:t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4.5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Помощь в подготовке сопроводительного письма 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в рамках дополнительной проверки со стороны таможенных органов</w:t>
            </w:r>
            <w:r>
              <w:rPr>
                <w:rStyle w:val="699"/>
                <w:rFonts w:cs="Times New Roman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т</w:t>
            </w:r>
            <w:r>
              <w:rPr>
                <w:bCs/>
              </w:rPr>
              <w:t xml:space="preserve">оварная партия</w:t>
            </w:r>
            <w:r>
              <w:rPr>
                <w:bCs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</w:rPr>
            </w:pPr>
            <w:r>
              <w:rPr>
                <w:bCs/>
              </w:rPr>
              <w:t xml:space="preserve">15000</w:t>
            </w:r>
            <w:r>
              <w:rPr>
                <w:bCs/>
              </w:rPr>
              <w:t xml:space="preserve">,00</w:t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4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6.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Помощь в с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оставление прочих документов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 (Контракт, Приложения, Спецификации, Дополнительные Соглашения и т.п.)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bCs/>
              </w:rPr>
              <w:t xml:space="preserve">т</w:t>
            </w:r>
            <w:r>
              <w:rPr>
                <w:bCs/>
              </w:rPr>
              <w:t xml:space="preserve">оварная партия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bCs/>
              </w:rPr>
              <w:t xml:space="preserve">По согласованию сторон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4.7.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jc w:val="both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Комплекс услуг по содействию оформления разрешительных документов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услуга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/>
                <w:bCs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По запросу</w:t>
            </w:r>
            <w:r>
              <w:rPr>
                <w:b/>
                <w:bCs/>
              </w:rPr>
            </w:r>
          </w:p>
        </w:tc>
      </w:tr>
      <w:tr>
        <w:tblPrEx/>
        <w:trPr>
          <w:jc w:val="center"/>
          <w:trHeight w:val="383"/>
        </w:trPr>
        <w:tc>
          <w:tcPr>
            <w:gridSpan w:val="4"/>
            <w:tcW w:w="10415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Cs/>
                <w:color w:val="000000"/>
                <w:sz w:val="12"/>
                <w:szCs w:val="24"/>
                <w:lang w:eastAsia="ru-RU" w:bidi="ru-RU"/>
              </w:rPr>
            </w:pPr>
            <w:r>
              <w:rPr>
                <w:rFonts w:cs="Times New Roman"/>
                <w:bCs/>
                <w:color w:val="000000"/>
                <w:sz w:val="12"/>
                <w:szCs w:val="24"/>
                <w:lang w:eastAsia="ru-RU" w:bidi="ru-RU"/>
              </w:rPr>
            </w:r>
            <w:r>
              <w:rPr>
                <w:rStyle w:val="699"/>
                <w:rFonts w:cs="Times New Roman"/>
                <w:bCs/>
                <w:color w:val="000000"/>
                <w:sz w:val="12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d9d9d9" w:themeFill="background1" w:themeFillShade="D9"/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5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gridSpan w:val="3"/>
            <w:shd w:val="clear" w:color="auto" w:fill="d9d9d9" w:themeFill="background1" w:themeFillShade="D9"/>
            <w:tcW w:w="9318" w:type="dxa"/>
            <w:vAlign w:val="bottom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Декларирование товара и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/или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с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оставление Декларации на товары (далее по тексту ДТ)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**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d9d9d9" w:themeFill="background1" w:themeFillShade="D9"/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5.1.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gridSpan w:val="3"/>
            <w:shd w:val="clear" w:color="auto" w:fill="d9d9d9" w:themeFill="background1" w:themeFillShade="D9"/>
            <w:tcW w:w="9318" w:type="dxa"/>
            <w:vAlign w:val="bottom"/>
            <w:textDirection w:val="lrTb"/>
            <w:noWrap w:val="false"/>
          </w:tcPr>
          <w:p>
            <w:pPr>
              <w:pStyle w:val="706"/>
              <w:rPr>
                <w:rStyle w:val="699"/>
                <w:rFonts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Составление ДТ для подачи самостоятельно Заказчиком/Декларантом </w:t>
            </w:r>
            <w:r>
              <w:rPr>
                <w:rStyle w:val="699"/>
                <w:rFonts w:cs="Times New Roman"/>
                <w:bCs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pStyle w:val="706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(пакет с привязкой комплекта документов для </w:t>
            </w: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Альта-Софт</w:t>
            </w:r>
            <w:r>
              <w:rPr>
                <w:rStyle w:val="699"/>
                <w:rFonts w:cs="Times New Roman"/>
                <w:b w:val="0"/>
                <w:bCs/>
                <w:i/>
                <w:color w:val="000000"/>
                <w:sz w:val="24"/>
                <w:szCs w:val="24"/>
                <w:lang w:eastAsia="ru-RU" w:bidi="ru-RU"/>
              </w:rPr>
              <w:t xml:space="preserve">):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5.1.1.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bottom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Составление ДТ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 по документам Заказчика/Декларанта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 до 4 товаров (основной лист + дополнительный лист)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pStyle w:val="706"/>
              <w:jc w:val="both"/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включая ДТС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, опись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bCs/>
                <w:szCs w:val="24"/>
              </w:rPr>
              <w:t xml:space="preserve">т</w:t>
            </w:r>
            <w:r>
              <w:rPr>
                <w:bCs/>
                <w:szCs w:val="24"/>
              </w:rPr>
              <w:t xml:space="preserve">оварная партия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6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500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,00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5.1.2.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bottom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Составление добавочного листа к ДТ (с 4 товара) 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bCs/>
                <w:szCs w:val="24"/>
              </w:rPr>
              <w:t xml:space="preserve">лист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550</w:t>
            </w:r>
            <w:r>
              <w:rPr>
                <w:bCs/>
                <w:szCs w:val="24"/>
              </w:rPr>
              <w:t xml:space="preserve">,00</w:t>
            </w:r>
            <w:r>
              <w:rPr>
                <w:bCs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5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1.3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bottom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Формализация документов перед подачей ДТ в электронном виде, 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в рамках товарной партии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pStyle w:val="706"/>
              <w:jc w:val="both"/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bCs/>
                <w:szCs w:val="24"/>
              </w:rPr>
              <w:t xml:space="preserve">т</w:t>
            </w:r>
            <w:r>
              <w:rPr>
                <w:bCs/>
                <w:szCs w:val="24"/>
              </w:rPr>
              <w:t xml:space="preserve">оварная партия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2000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,00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d9d9d9" w:themeFill="background1" w:themeFillShade="D9"/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5.2.</w:t>
            </w:r>
            <w:r>
              <w:rPr>
                <w:rStyle w:val="698"/>
                <w:rFonts w:cs="Times New Roman"/>
                <w:b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gridSpan w:val="3"/>
            <w:shd w:val="clear" w:color="auto" w:fill="d9d9d9" w:themeFill="background1" w:themeFillShade="D9"/>
            <w:tcW w:w="9318" w:type="dxa"/>
            <w:vAlign w:val="bottom"/>
            <w:textDirection w:val="lrTb"/>
            <w:noWrap w:val="false"/>
          </w:tcPr>
          <w:p>
            <w:pPr>
              <w:pStyle w:val="706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В дополнение к п. 5.1. составление ДТ и подачей от имени </w:t>
            </w:r>
            <w:r>
              <w:rPr>
                <w:rStyle w:val="699"/>
                <w:rFonts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Заказчика/</w:t>
            </w:r>
            <w:r>
              <w:rPr>
                <w:rStyle w:val="699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Декларанта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Style w:val="699"/>
                <w:rFonts w:cs="Times New Roman"/>
                <w:b w:val="0"/>
                <w:i/>
                <w:color w:val="000000"/>
                <w:sz w:val="24"/>
                <w:szCs w:val="24"/>
                <w:lang w:eastAsia="ru-RU" w:bidi="ru-RU"/>
              </w:rPr>
              <w:t xml:space="preserve">(заключение договора </w:t>
            </w:r>
            <w:r>
              <w:rPr>
                <w:rStyle w:val="699"/>
                <w:rFonts w:cs="Times New Roman"/>
                <w:b w:val="0"/>
                <w:i/>
                <w:color w:val="000000"/>
                <w:sz w:val="24"/>
                <w:szCs w:val="24"/>
                <w:lang w:eastAsia="ru-RU" w:bidi="ru-RU"/>
              </w:rPr>
              <w:t xml:space="preserve">Таможенного представительств</w:t>
            </w:r>
            <w:r>
              <w:rPr>
                <w:rStyle w:val="699"/>
                <w:rFonts w:cs="Times New Roman"/>
                <w:b w:val="0"/>
                <w:i/>
                <w:color w:val="000000"/>
                <w:sz w:val="24"/>
                <w:szCs w:val="24"/>
                <w:lang w:eastAsia="ru-RU" w:bidi="ru-RU"/>
              </w:rPr>
              <w:t xml:space="preserve">)</w:t>
            </w:r>
            <w:r>
              <w:rPr>
                <w:rStyle w:val="699"/>
                <w:rFonts w:cs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***</w:t>
            </w:r>
            <w:r>
              <w:rPr>
                <w:rStyle w:val="699"/>
                <w:rFonts w:cs="Times New Roman"/>
                <w:b w:val="0"/>
                <w:i/>
                <w:color w:val="000000"/>
                <w:sz w:val="24"/>
                <w:szCs w:val="24"/>
                <w:lang w:eastAsia="ru-RU" w:bidi="ru-RU"/>
              </w:rPr>
              <w:t xml:space="preserve">: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5.2.1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Совершения таможенных операций таможенным представителем от имени 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Заказчика/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Декларанта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pStyle w:val="706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(для поставок прибывших товарной партией) по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дача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 ДТ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0"/>
              <w:jc w:val="center"/>
              <w:spacing w:line="220" w:lineRule="exact"/>
              <w:rPr>
                <w:rFonts w:cs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товарная партия</w:t>
            </w:r>
            <w:r>
              <w:rPr>
                <w:rFonts w:cs="Times New Roman"/>
                <w:bCs/>
                <w:sz w:val="24"/>
                <w:szCs w:val="24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  <w:t xml:space="preserve">5200</w:t>
            </w:r>
            <w:r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  <w:t xml:space="preserve">,00</w:t>
            </w:r>
            <w:r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5.2.2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Ответ на запрос таможенных органов в процессе декларирования силами таможенного представителя (по согласованию с Заказчиком)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0"/>
              <w:jc w:val="center"/>
              <w:spacing w:line="220" w:lineRule="exact"/>
              <w:rPr>
                <w:rFonts w:cs="Times New Roman"/>
                <w:bCs/>
                <w:sz w:val="22"/>
              </w:rPr>
            </w:pPr>
            <w:r>
              <w:rPr>
                <w:rFonts w:cs="Times New Roman"/>
                <w:bCs/>
                <w:sz w:val="22"/>
              </w:rPr>
              <w:t xml:space="preserve">документ</w:t>
            </w:r>
            <w:r>
              <w:rPr>
                <w:rFonts w:cs="Times New Roman"/>
                <w:bCs/>
                <w:sz w:val="22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  <w:t xml:space="preserve">1500</w:t>
            </w:r>
            <w:r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  <w:t xml:space="preserve">,00</w:t>
            </w:r>
            <w:r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5.2.3.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706"/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Ответ Заказчика на запрос таможенных органов в процессе декларирования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0"/>
              <w:jc w:val="center"/>
              <w:spacing w:line="220" w:lineRule="exact"/>
              <w:rPr>
                <w:rFonts w:cs="Times New Roman"/>
                <w:bCs/>
                <w:sz w:val="22"/>
              </w:rPr>
            </w:pPr>
            <w:r>
              <w:rPr>
                <w:rFonts w:cs="Times New Roman"/>
                <w:bCs/>
                <w:sz w:val="22"/>
              </w:rPr>
              <w:t xml:space="preserve">документ</w:t>
            </w:r>
            <w:r>
              <w:rPr>
                <w:rFonts w:cs="Times New Roman"/>
                <w:bCs/>
                <w:sz w:val="22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  <w:t xml:space="preserve">500</w:t>
            </w:r>
            <w:r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  <w:t xml:space="preserve">,00</w:t>
            </w:r>
            <w:r>
              <w:rPr>
                <w:rStyle w:val="699"/>
                <w:b w:val="0"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jc w:val="center"/>
        </w:trPr>
        <w:tc>
          <w:tcPr>
            <w:tcW w:w="1097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5.2.4.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  <w:t xml:space="preserve">.</w:t>
            </w:r>
            <w:r>
              <w:rPr>
                <w:rStyle w:val="698"/>
                <w:rFonts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6379" w:type="dxa"/>
            <w:vAlign w:val="bottom"/>
            <w:textDirection w:val="lrTb"/>
            <w:noWrap w:val="false"/>
          </w:tcPr>
          <w:p>
            <w:pPr>
              <w:pStyle w:val="706"/>
              <w:jc w:val="both"/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Составление формы корректировки декларации на товары после выпуска товаров</w:t>
            </w:r>
            <w:r>
              <w:rPr>
                <w:rStyle w:val="699"/>
                <w:rFonts w:cs="Times New Roman"/>
                <w:b w:val="0"/>
                <w:bCs/>
                <w:color w:val="000000"/>
                <w:sz w:val="24"/>
                <w:szCs w:val="24"/>
                <w:lang w:eastAsia="ru-RU" w:bidi="ru-RU"/>
              </w:rPr>
              <w:t xml:space="preserve"> (КТС)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товарная партия</w:t>
            </w:r>
            <w:r>
              <w:rPr>
                <w:bCs/>
                <w:szCs w:val="24"/>
              </w:rPr>
            </w:r>
          </w:p>
        </w:tc>
        <w:tc>
          <w:tcPr>
            <w:tcW w:w="1380" w:type="dxa"/>
            <w:vAlign w:val="center"/>
            <w:textDirection w:val="lrTb"/>
            <w:noWrap w:val="false"/>
          </w:tcPr>
          <w:p>
            <w:pPr>
              <w:pStyle w:val="706"/>
              <w:jc w:val="center"/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1500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  <w:t xml:space="preserve">,00</w:t>
            </w:r>
            <w:r>
              <w:rPr>
                <w:rStyle w:val="699"/>
                <w:rFonts w:cs="Times New Roman"/>
                <w:b w:val="0"/>
                <w:color w:val="000000"/>
                <w:sz w:val="24"/>
                <w:szCs w:val="24"/>
                <w:lang w:eastAsia="ru-RU" w:bidi="ru-RU"/>
              </w:rPr>
            </w:r>
          </w:p>
        </w:tc>
      </w:tr>
    </w:tbl>
    <w:p>
      <w:pPr>
        <w:rPr>
          <w:lang w:eastAsia="ru-RU" w:bidi="ar-SA"/>
        </w:rPr>
      </w:pPr>
      <w:r>
        <w:rPr>
          <w:lang w:eastAsia="ru-RU" w:bidi="ar-SA"/>
        </w:rPr>
      </w:r>
      <w:r>
        <w:rPr>
          <w:lang w:eastAsia="ru-RU" w:bidi="ar-SA"/>
        </w:rPr>
      </w:r>
    </w:p>
    <w:p>
      <w:pPr>
        <w:rPr>
          <w:rFonts w:cs="Times New Roman"/>
          <w:bCs/>
        </w:rPr>
      </w:pPr>
      <w:r>
        <w:rPr>
          <w:lang w:eastAsia="ru-RU" w:bidi="ar-SA"/>
        </w:rPr>
        <w:t xml:space="preserve">П</w:t>
      </w:r>
      <w:r>
        <w:rPr>
          <w:lang w:eastAsia="ru-RU" w:bidi="ar-SA"/>
        </w:rPr>
        <w:t xml:space="preserve">РИМЕЧАНИЕ</w:t>
      </w:r>
      <w:r>
        <w:rPr>
          <w:lang w:eastAsia="ru-RU" w:bidi="ar-SA"/>
        </w:rPr>
        <w:t xml:space="preserve">:</w:t>
      </w:r>
      <w:r>
        <w:rPr>
          <w:rFonts w:cs="Times New Roman"/>
          <w:bCs/>
        </w:rPr>
        <w:t xml:space="preserve"> </w:t>
      </w:r>
      <w:r>
        <w:rPr>
          <w:rFonts w:cs="Times New Roman"/>
          <w:bCs/>
        </w:rPr>
      </w:r>
    </w:p>
    <w:p>
      <w:pPr>
        <w:ind w:left="708"/>
        <w:rPr>
          <w:rStyle w:val="699"/>
          <w:rFonts w:cs="Times New Roman"/>
          <w:color w:val="000000"/>
          <w:sz w:val="24"/>
          <w:szCs w:val="24"/>
          <w:lang w:eastAsia="ru-RU" w:bidi="ru-RU"/>
        </w:rPr>
      </w:pPr>
      <w:r>
        <w:rPr>
          <w:rStyle w:val="699"/>
          <w:rFonts w:cs="Times New Roman"/>
          <w:color w:val="000000"/>
          <w:sz w:val="24"/>
          <w:szCs w:val="24"/>
          <w:lang w:eastAsia="ru-RU" w:bidi="ru-RU"/>
        </w:rPr>
        <w:t xml:space="preserve">* </w:t>
      </w:r>
      <w:r>
        <w:rPr>
          <w:rStyle w:val="699"/>
          <w:rFonts w:cs="Times New Roman"/>
          <w:color w:val="000000"/>
          <w:sz w:val="24"/>
          <w:szCs w:val="24"/>
          <w:lang w:eastAsia="ru-RU" w:bidi="ru-RU"/>
        </w:rPr>
        <w:t xml:space="preserve">    </w:t>
      </w:r>
      <w:r>
        <w:rPr>
          <w:rStyle w:val="699"/>
          <w:rFonts w:cs="Times New Roman"/>
          <w:b w:val="0"/>
          <w:color w:val="000000"/>
          <w:sz w:val="24"/>
          <w:szCs w:val="24"/>
          <w:lang w:eastAsia="ru-RU" w:bidi="ru-RU"/>
        </w:rPr>
        <w:t xml:space="preserve">Д</w:t>
      </w:r>
      <w:r>
        <w:rPr>
          <w:rStyle w:val="699"/>
          <w:rFonts w:cs="Times New Roman"/>
          <w:b w:val="0"/>
          <w:color w:val="000000"/>
          <w:sz w:val="24"/>
          <w:szCs w:val="24"/>
          <w:lang w:eastAsia="ru-RU" w:bidi="ru-RU"/>
        </w:rPr>
        <w:t xml:space="preserve">анная услуга </w:t>
      </w:r>
      <w:r>
        <w:rPr>
          <w:rStyle w:val="699"/>
          <w:rFonts w:cs="Times New Roman"/>
          <w:b w:val="0"/>
          <w:color w:val="000000"/>
          <w:sz w:val="24"/>
          <w:szCs w:val="24"/>
          <w:lang w:eastAsia="ru-RU" w:bidi="ru-RU"/>
        </w:rPr>
        <w:t xml:space="preserve">рекомендуется применять с услугой раздела 3</w:t>
      </w:r>
      <w:r>
        <w:rPr>
          <w:rStyle w:val="699"/>
          <w:rFonts w:cs="Times New Roman"/>
          <w:color w:val="000000"/>
          <w:sz w:val="24"/>
          <w:szCs w:val="24"/>
          <w:lang w:eastAsia="ru-RU" w:bidi="ru-RU"/>
        </w:rPr>
      </w:r>
    </w:p>
    <w:p>
      <w:pPr>
        <w:ind w:left="708"/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</w:pPr>
      <w:r>
        <w:rPr>
          <w:rStyle w:val="699"/>
          <w:rFonts w:cs="Times New Roman"/>
          <w:color w:val="000000"/>
          <w:sz w:val="24"/>
          <w:szCs w:val="24"/>
          <w:lang w:eastAsia="ru-RU" w:bidi="ru-RU"/>
        </w:rPr>
        <w:t xml:space="preserve">** </w:t>
      </w:r>
      <w:r>
        <w:rPr>
          <w:rStyle w:val="699"/>
          <w:rFonts w:cs="Times New Roman"/>
          <w:b w:val="0"/>
          <w:bCs/>
          <w:color w:val="000000"/>
          <w:sz w:val="24"/>
          <w:szCs w:val="24"/>
          <w:lang w:eastAsia="ru-RU" w:bidi="ru-RU"/>
        </w:rPr>
        <w:t xml:space="preserve">  У</w:t>
      </w:r>
      <w:r>
        <w:rPr>
          <w:rStyle w:val="699"/>
          <w:rFonts w:cs="Times New Roman"/>
          <w:b w:val="0"/>
          <w:bCs/>
          <w:color w:val="000000"/>
          <w:sz w:val="24"/>
          <w:szCs w:val="24"/>
          <w:lang w:eastAsia="ru-RU" w:bidi="ru-RU"/>
        </w:rPr>
        <w:t xml:space="preserve">слуги предоставлены с разбивкой по видам.</w:t>
      </w:r>
      <w:r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  <w:t xml:space="preserve"> </w:t>
      </w:r>
      <w:r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</w:r>
    </w:p>
    <w:p>
      <w:pPr>
        <w:ind w:left="708"/>
        <w:jc w:val="both"/>
        <w:rPr>
          <w:rFonts w:cs="Times New Roman"/>
          <w:bCs/>
        </w:rPr>
      </w:pPr>
      <w:r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  <w:t xml:space="preserve">*** </w:t>
      </w:r>
      <w:r>
        <w:rPr>
          <w:rStyle w:val="699"/>
          <w:rFonts w:cs="Times New Roman"/>
          <w:b w:val="0"/>
          <w:bCs/>
          <w:color w:val="000000"/>
          <w:sz w:val="24"/>
          <w:szCs w:val="24"/>
          <w:lang w:eastAsia="ru-RU" w:bidi="ru-RU"/>
        </w:rPr>
        <w:t xml:space="preserve">У</w:t>
      </w:r>
      <w:r>
        <w:rPr>
          <w:rFonts w:cs="Times New Roman"/>
          <w:bCs/>
        </w:rPr>
        <w:t xml:space="preserve">слуга п. 5.2. предоставляется только по результату оказания услуги раздела 3 и калькулируется с услугами п. 5.1.</w:t>
      </w:r>
      <w:r>
        <w:rPr>
          <w:rFonts w:cs="Times New Roman"/>
          <w:bCs/>
        </w:rPr>
      </w:r>
    </w:p>
    <w:p>
      <w:pPr>
        <w:ind w:left="708"/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</w:pPr>
      <w:r>
        <w:rPr>
          <w:rFonts w:cs="Times New Roman"/>
          <w:bCs/>
          <w:color w:val="000000"/>
          <w:sz w:val="24"/>
          <w:szCs w:val="24"/>
          <w:lang w:eastAsia="ru-RU" w:bidi="ru-RU"/>
        </w:rPr>
      </w:r>
      <w:r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</w:r>
    </w:p>
    <w:p>
      <w:pPr>
        <w:jc w:val="both"/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</w:pPr>
      <w:r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  <w:t xml:space="preserve">Заказчик при заключении договора на постоянной основе (комплекс по оформлению) имеет приоритетные цены (e-</w:t>
      </w:r>
      <w:r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  <w:t xml:space="preserve">mail</w:t>
      </w:r>
      <w:r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  <w:t xml:space="preserve">: </w:t>
      </w:r>
      <w:hyperlink r:id="rId11" w:tooltip="mailto:info@garantp.com" w:history="1">
        <w:r>
          <w:rPr>
            <w:rStyle w:val="707"/>
            <w:rFonts w:cs="Times New Roman"/>
            <w:bCs/>
            <w:lang w:eastAsia="ru-RU" w:bidi="ru-RU"/>
          </w:rPr>
          <w:t xml:space="preserve">info@garantp.com</w:t>
        </w:r>
      </w:hyperlink>
      <w:r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  <w:t xml:space="preserve">)</w:t>
      </w:r>
      <w:r>
        <w:rPr>
          <w:rStyle w:val="699"/>
          <w:rFonts w:cs="Times New Roman"/>
          <w:bCs/>
          <w:color w:val="000000"/>
          <w:sz w:val="24"/>
          <w:szCs w:val="24"/>
          <w:lang w:eastAsia="ru-RU" w:bidi="ru-RU"/>
        </w:rPr>
      </w:r>
    </w:p>
    <w:p>
      <w:pPr>
        <w:ind w:left="708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rFonts w:eastAsia="Times New Roman" w:cs="Times New Roman"/>
          <w:b/>
          <w:i/>
          <w:lang w:eastAsia="ar-SA"/>
        </w:rPr>
      </w:pPr>
      <w:r>
        <w:rPr>
          <w:rFonts w:eastAsia="Times New Roman" w:cs="Times New Roman"/>
          <w:b/>
          <w:i/>
          <w:lang w:eastAsia="ar-SA"/>
        </w:rPr>
        <w:t xml:space="preserve">Итоговая сумма подлежит к выставлению авансового Счета, после его оплаты Заказчиком, являются отдельным соглашением, заключенным в рамках Договора (статьи 435 и 438 Гражданского кодекса РФ).</w:t>
      </w:r>
      <w:r>
        <w:rPr>
          <w:rFonts w:eastAsia="Times New Roman" w:cs="Times New Roman"/>
          <w:b/>
          <w:i/>
          <w:lang w:eastAsia="ar-SA"/>
        </w:rPr>
      </w:r>
    </w:p>
    <w:p>
      <w:pPr>
        <w:rPr>
          <w:lang w:eastAsia="ru-RU" w:bidi="ar-SA"/>
        </w:rPr>
      </w:pPr>
      <w:r>
        <w:rPr>
          <w:lang w:eastAsia="ru-RU" w:bidi="ar-SA"/>
        </w:rPr>
      </w:r>
      <w:r>
        <w:rPr>
          <w:lang w:eastAsia="ru-RU" w:bidi="ar-SA"/>
        </w:rPr>
      </w:r>
    </w:p>
    <w:p>
      <w:pPr>
        <w:jc w:val="both"/>
        <w:rPr>
          <w:lang w:eastAsia="ru-RU" w:bidi="ar-SA"/>
        </w:rPr>
      </w:pPr>
      <w:r>
        <w:rPr>
          <w:b/>
          <w:lang w:eastAsia="ru-RU" w:bidi="ar-SA"/>
        </w:rPr>
        <w:t xml:space="preserve">Товарная партия</w:t>
      </w:r>
      <w:r>
        <w:rPr>
          <w:lang w:eastAsia="ru-RU" w:bidi="ar-SA"/>
        </w:rPr>
        <w:t xml:space="preserve"> </w:t>
      </w:r>
      <w:r>
        <w:rPr>
          <w:lang w:eastAsia="ru-RU" w:bidi="ar-SA"/>
        </w:rPr>
        <w:t xml:space="preserve">–</w:t>
      </w:r>
      <w:r>
        <w:rPr>
          <w:lang w:eastAsia="ru-RU" w:bidi="ar-SA"/>
        </w:rPr>
        <w:t xml:space="preserve"> </w:t>
      </w:r>
      <w:r>
        <w:rPr>
          <w:lang w:eastAsia="ru-RU" w:bidi="ar-SA"/>
        </w:rPr>
        <w:t xml:space="preserve">это партия товара, прибывшая/убывшая в адрес одного получателя от одного отправителя в рамках одного внешнеторгового контракта, на одном транспортном средстве (ТС/КТК) по одному международному транспортному документу (</w:t>
      </w:r>
      <w:r>
        <w:rPr>
          <w:rStyle w:val="698"/>
          <w:rFonts w:cs="Times New Roman"/>
          <w:color w:val="000000"/>
          <w:sz w:val="24"/>
          <w:szCs w:val="24"/>
          <w:lang w:val="en-US" w:eastAsia="ru-RU" w:bidi="ru-RU"/>
        </w:rPr>
        <w:t xml:space="preserve">CMR</w:t>
      </w:r>
      <w:r>
        <w:rPr>
          <w:rStyle w:val="698"/>
          <w:rFonts w:cs="Times New Roman"/>
          <w:color w:val="000000"/>
          <w:sz w:val="24"/>
          <w:szCs w:val="24"/>
          <w:lang w:eastAsia="ru-RU" w:bidi="ru-RU"/>
        </w:rPr>
        <w:t xml:space="preserve">/</w:t>
      </w:r>
      <w:r>
        <w:rPr>
          <w:rStyle w:val="698"/>
          <w:rFonts w:cs="Times New Roman"/>
          <w:color w:val="000000"/>
          <w:sz w:val="24"/>
          <w:szCs w:val="24"/>
          <w:lang w:val="en-US" w:eastAsia="ru-RU" w:bidi="ru-RU"/>
        </w:rPr>
        <w:t xml:space="preserve">AWB</w:t>
      </w:r>
      <w:r>
        <w:rPr>
          <w:rStyle w:val="698"/>
          <w:rFonts w:cs="Times New Roman"/>
          <w:color w:val="000000"/>
          <w:sz w:val="24"/>
          <w:szCs w:val="24"/>
          <w:lang w:eastAsia="ru-RU" w:bidi="ru-RU"/>
        </w:rPr>
        <w:t xml:space="preserve">/</w:t>
      </w:r>
      <w:r>
        <w:rPr>
          <w:rStyle w:val="698"/>
          <w:rFonts w:cs="Times New Roman"/>
          <w:color w:val="000000"/>
          <w:sz w:val="24"/>
          <w:szCs w:val="24"/>
          <w:lang w:eastAsia="ru-RU" w:bidi="ru-RU"/>
        </w:rPr>
        <w:t xml:space="preserve">коносамент/СМГС)</w:t>
      </w:r>
      <w:r>
        <w:rPr>
          <w:lang w:eastAsia="ru-RU" w:bidi="ar-SA"/>
        </w:rPr>
        <w:t xml:space="preserve">.</w:t>
      </w:r>
      <w:r>
        <w:rPr>
          <w:lang w:eastAsia="ru-RU" w:bidi="ar-SA"/>
        </w:rPr>
      </w:r>
    </w:p>
    <w:p>
      <w:pPr>
        <w:ind w:firstLine="720"/>
        <w:jc w:val="both"/>
        <w:rPr>
          <w:lang w:eastAsia="ru-RU" w:bidi="ar-SA"/>
        </w:rPr>
      </w:pPr>
      <w:r>
        <w:rPr>
          <w:lang w:eastAsia="ru-RU" w:bidi="ar-SA"/>
        </w:rPr>
        <w:t xml:space="preserve">Для малой товарной партией</w:t>
      </w:r>
      <w:r>
        <w:rPr>
          <w:lang w:eastAsia="ru-RU" w:bidi="ar-SA"/>
        </w:rPr>
        <w:t xml:space="preserve">,</w:t>
      </w:r>
      <w:r>
        <w:rPr>
          <w:lang w:eastAsia="ru-RU" w:bidi="ar-SA"/>
        </w:rPr>
        <w:t xml:space="preserve"> весом брутто до 1000 кг</w:t>
      </w:r>
      <w:r>
        <w:rPr>
          <w:lang w:eastAsia="ru-RU" w:bidi="ar-SA"/>
        </w:rPr>
        <w:t xml:space="preserve"> включительно, </w:t>
      </w:r>
      <w:r>
        <w:rPr>
          <w:lang w:eastAsia="ru-RU" w:bidi="ar-SA"/>
        </w:rPr>
        <w:t xml:space="preserve">предоставляется скидка.</w:t>
      </w:r>
      <w:r>
        <w:rPr>
          <w:lang w:eastAsia="ru-RU" w:bidi="ar-SA"/>
        </w:rPr>
      </w:r>
    </w:p>
    <w:p>
      <w:pPr>
        <w:jc w:val="both"/>
        <w:rPr>
          <w:rStyle w:val="699"/>
          <w:sz w:val="24"/>
          <w:szCs w:val="21"/>
        </w:rPr>
      </w:pPr>
      <w:r>
        <w:rPr>
          <w:sz w:val="24"/>
          <w:szCs w:val="21"/>
        </w:rPr>
      </w:r>
      <w:r>
        <w:rPr>
          <w:rStyle w:val="699"/>
          <w:sz w:val="24"/>
          <w:szCs w:val="21"/>
        </w:rPr>
      </w:r>
    </w:p>
    <w:p>
      <w:pPr>
        <w:jc w:val="both"/>
        <w:rPr>
          <w:bCs/>
        </w:rPr>
      </w:pPr>
      <w:r>
        <w:rPr>
          <w:rStyle w:val="699"/>
          <w:sz w:val="24"/>
          <w:szCs w:val="21"/>
        </w:rPr>
        <w:t xml:space="preserve">Т</w:t>
      </w:r>
      <w:r>
        <w:rPr>
          <w:b/>
          <w:bCs/>
        </w:rPr>
        <w:t xml:space="preserve">оварная позиция</w:t>
      </w:r>
      <w:r>
        <w:rPr>
          <w:bCs/>
        </w:rPr>
        <w:t xml:space="preserve"> – это </w:t>
      </w:r>
      <w:r>
        <w:rPr>
          <w:lang w:eastAsia="ru-RU" w:bidi="ar-SA"/>
        </w:rPr>
        <w:t xml:space="preserve">наименование и описание конкретного </w:t>
      </w:r>
      <w:r>
        <w:rPr>
          <w:lang w:eastAsia="ru-RU" w:bidi="ar-SA"/>
        </w:rPr>
        <w:t xml:space="preserve">артикула </w:t>
      </w:r>
      <w:r>
        <w:rPr>
          <w:lang w:eastAsia="ru-RU" w:bidi="ar-SA"/>
        </w:rPr>
        <w:t xml:space="preserve">товара</w:t>
      </w:r>
      <w:r>
        <w:rPr>
          <w:lang w:eastAsia="ru-RU" w:bidi="ar-SA"/>
        </w:rPr>
        <w:t xml:space="preserve">.</w:t>
      </w:r>
      <w:r>
        <w:rPr>
          <w:bCs/>
        </w:rPr>
      </w:r>
    </w:p>
    <w:p>
      <w:pPr>
        <w:jc w:val="both"/>
        <w:rPr>
          <w:lang w:eastAsia="ru-RU" w:bidi="ar-SA"/>
        </w:rPr>
      </w:pPr>
      <w:r>
        <w:rPr>
          <w:lang w:eastAsia="ru-RU" w:bidi="ar-SA"/>
        </w:rPr>
      </w:r>
      <w:r>
        <w:rPr>
          <w:lang w:eastAsia="ru-RU" w:bidi="ar-SA"/>
        </w:rPr>
      </w:r>
    </w:p>
    <w:p>
      <w:pPr>
        <w:jc w:val="both"/>
        <w:rPr>
          <w:lang w:eastAsia="ru-RU" w:bidi="ar-SA"/>
        </w:rPr>
      </w:pPr>
      <w:r>
        <w:rPr>
          <w:lang w:eastAsia="ru-RU" w:bidi="ar-SA"/>
        </w:rPr>
        <w:t xml:space="preserve">Цены даны </w:t>
      </w:r>
      <w:r>
        <w:rPr>
          <w:lang w:eastAsia="ru-RU" w:bidi="ar-SA"/>
        </w:rPr>
        <w:t xml:space="preserve">с </w:t>
      </w:r>
      <w:r>
        <w:rPr>
          <w:lang w:eastAsia="ru-RU" w:bidi="ar-SA"/>
        </w:rPr>
        <w:t xml:space="preserve">учет</w:t>
      </w:r>
      <w:r>
        <w:rPr>
          <w:lang w:eastAsia="ru-RU" w:bidi="ar-SA"/>
        </w:rPr>
        <w:t xml:space="preserve">ом</w:t>
      </w:r>
      <w:r>
        <w:rPr>
          <w:lang w:eastAsia="ru-RU" w:bidi="ar-SA"/>
        </w:rPr>
        <w:t xml:space="preserve"> НДС.</w:t>
      </w:r>
      <w:r>
        <w:rPr>
          <w:lang w:eastAsia="ru-RU" w:bidi="ar-SA"/>
        </w:rPr>
        <w:t xml:space="preserve"> </w:t>
      </w:r>
      <w:r>
        <w:rPr>
          <w:lang w:eastAsia="ru-RU" w:bidi="ar-SA"/>
        </w:rPr>
        <w:t xml:space="preserve">Сумма налога на добавленную стоимость </w:t>
      </w:r>
      <w:r>
        <w:rPr>
          <w:lang w:eastAsia="ru-RU" w:bidi="ar-SA"/>
        </w:rPr>
        <w:t xml:space="preserve">составляет 5% </w:t>
      </w:r>
      <w:r>
        <w:rPr>
          <w:lang w:eastAsia="ru-RU" w:bidi="ar-SA"/>
        </w:rPr>
        <w:t xml:space="preserve"> в соответствии с законодательством РФ о налогах и сборах</w:t>
      </w:r>
      <w:r>
        <w:rPr>
          <w:lang w:eastAsia="ru-RU" w:bidi="ar-SA"/>
        </w:rPr>
        <w:t xml:space="preserve">.</w:t>
      </w:r>
      <w:r>
        <w:rPr>
          <w:lang w:eastAsia="ru-RU" w:bidi="ar-SA"/>
        </w:rPr>
      </w:r>
    </w:p>
    <w:p>
      <w:pPr>
        <w:jc w:val="both"/>
        <w:rPr>
          <w:lang w:eastAsia="ru-RU" w:bidi="ar-SA"/>
        </w:rPr>
      </w:pPr>
      <w:r>
        <w:rPr>
          <w:lang w:eastAsia="ru-RU" w:bidi="ar-SA"/>
        </w:rPr>
      </w:r>
      <w:r>
        <w:rPr>
          <w:lang w:eastAsia="ru-RU" w:bidi="ar-SA"/>
        </w:rPr>
      </w:r>
    </w:p>
    <w:p>
      <w:pPr>
        <w:jc w:val="both"/>
        <w:rPr>
          <w:lang w:eastAsia="ru-RU" w:bidi="ar-SA"/>
        </w:rPr>
      </w:pPr>
      <w:r>
        <w:rPr>
          <w:lang w:eastAsia="ru-RU" w:bidi="ar-SA"/>
        </w:rPr>
        <w:t xml:space="preserve">При поставках </w:t>
      </w:r>
      <w:r>
        <w:rPr>
          <w:lang w:eastAsia="ru-RU" w:bidi="ar-SA"/>
        </w:rPr>
        <w:t xml:space="preserve">в аэропортах г. Москвы </w:t>
      </w:r>
      <w:r>
        <w:rPr>
          <w:lang w:eastAsia="ru-RU" w:bidi="ar-SA"/>
        </w:rPr>
        <w:t xml:space="preserve">предлагаем услугу</w:t>
      </w:r>
      <w:r>
        <w:rPr>
          <w:lang w:eastAsia="ru-RU" w:bidi="ar-SA"/>
        </w:rPr>
        <w:t xml:space="preserve"> постоянным Клиентам</w:t>
      </w:r>
      <w:r>
        <w:rPr>
          <w:lang w:eastAsia="ru-RU" w:bidi="ar-SA"/>
        </w:rPr>
        <w:t xml:space="preserve"> по </w:t>
      </w:r>
      <w:r>
        <w:rPr>
          <w:lang w:eastAsia="ru-RU" w:bidi="ar-SA"/>
        </w:rPr>
        <w:t xml:space="preserve">Раскредитаци</w:t>
      </w:r>
      <w:r>
        <w:rPr>
          <w:lang w:eastAsia="ru-RU" w:bidi="ar-SA"/>
        </w:rPr>
        <w:t xml:space="preserve">и</w:t>
      </w:r>
      <w:r>
        <w:rPr>
          <w:lang w:eastAsia="ru-RU" w:bidi="ar-SA"/>
        </w:rPr>
        <w:t xml:space="preserve"> груз</w:t>
      </w:r>
      <w:r>
        <w:rPr>
          <w:lang w:eastAsia="ru-RU" w:bidi="ar-SA"/>
        </w:rPr>
        <w:t xml:space="preserve">а</w:t>
      </w:r>
      <w:r>
        <w:rPr>
          <w:lang w:eastAsia="ru-RU" w:bidi="ar-SA"/>
        </w:rPr>
        <w:t xml:space="preserve">(</w:t>
      </w:r>
      <w:r>
        <w:rPr>
          <w:lang w:eastAsia="ru-RU" w:bidi="ar-SA"/>
        </w:rPr>
        <w:t xml:space="preserve">ов</w:t>
      </w:r>
      <w:r>
        <w:rPr>
          <w:lang w:eastAsia="ru-RU" w:bidi="ar-SA"/>
        </w:rPr>
        <w:t xml:space="preserve">)</w:t>
      </w:r>
      <w:r>
        <w:rPr>
          <w:lang w:eastAsia="ru-RU" w:bidi="ar-SA"/>
        </w:rPr>
        <w:t xml:space="preserve">, расходы карго </w:t>
      </w:r>
      <w:r>
        <w:rPr>
          <w:lang w:eastAsia="ru-RU" w:bidi="ar-SA"/>
        </w:rPr>
        <w:t xml:space="preserve">подлежат </w:t>
      </w:r>
      <w:r>
        <w:rPr>
          <w:lang w:eastAsia="ru-RU" w:bidi="ar-SA"/>
        </w:rPr>
        <w:t xml:space="preserve">к возмещению.</w:t>
      </w:r>
      <w:r>
        <w:rPr>
          <w:lang w:eastAsia="ru-RU" w:bidi="ar-SA"/>
        </w:rPr>
      </w:r>
    </w:p>
    <w:p>
      <w:pPr>
        <w:ind w:firstLine="708"/>
        <w:jc w:val="both"/>
        <w:rPr>
          <w:lang w:eastAsia="ru-RU" w:bidi="ar-SA"/>
        </w:rPr>
      </w:pPr>
      <w:r>
        <w:rPr>
          <w:lang w:eastAsia="ru-RU" w:bidi="ar-SA"/>
        </w:rPr>
      </w:r>
      <w:r>
        <w:rPr>
          <w:lang w:eastAsia="ru-RU" w:bidi="ar-SA"/>
        </w:rPr>
      </w:r>
    </w:p>
    <w:tbl>
      <w:tblPr>
        <w:tblStyle w:val="708"/>
        <w:tblW w:w="0" w:type="auto"/>
        <w:tblInd w:w="108" w:type="dxa"/>
        <w:tblLook w:val="04A0" w:firstRow="1" w:lastRow="0" w:firstColumn="1" w:lastColumn="0" w:noHBand="0" w:noVBand="1"/>
      </w:tblPr>
      <w:tblGrid>
        <w:gridCol w:w="4072"/>
        <w:gridCol w:w="5391"/>
      </w:tblGrid>
      <w:tr>
        <w:tblPrEx/>
        <w:trPr/>
        <w:tc>
          <w:tcPr>
            <w:tcW w:w="4072" w:type="dxa"/>
            <w:textDirection w:val="lrTb"/>
            <w:noWrap w:val="false"/>
          </w:tcPr>
          <w:p>
            <w:pPr>
              <w:rPr>
                <w:rFonts w:eastAsia="Times New Roman" w:cs="Times New Roman"/>
                <w:color w:val="000000"/>
                <w:lang w:eastAsia="ar-SA"/>
              </w:rPr>
            </w:pPr>
            <w:r>
              <w:rPr>
                <w:rFonts w:eastAsia="Times New Roman" w:cs="Times New Roman"/>
                <w:b/>
                <w:lang w:eastAsia="ar-SA"/>
              </w:rPr>
              <w:t xml:space="preserve">Исполнитель</w:t>
            </w:r>
            <w:r>
              <w:rPr>
                <w:rFonts w:eastAsia="Times New Roman" w:cs="Times New Roman"/>
                <w:b/>
                <w:lang w:eastAsia="ar-SA"/>
              </w:rPr>
              <w:t xml:space="preserve">:</w:t>
            </w:r>
            <w:r>
              <w:rPr>
                <w:rFonts w:eastAsia="Times New Roman" w:cs="Times New Roman"/>
                <w:color w:val="000000"/>
                <w:lang w:eastAsia="ar-SA"/>
              </w:rPr>
            </w:r>
          </w:p>
        </w:tc>
        <w:tc>
          <w:tcPr>
            <w:tcW w:w="5391" w:type="dxa"/>
            <w:textDirection w:val="lrTb"/>
            <w:noWrap w:val="false"/>
          </w:tcPr>
          <w:p>
            <w:pPr>
              <w:rPr>
                <w:rFonts w:eastAsia="Times New Roman" w:cs="Times New Roman"/>
                <w:color w:val="000000"/>
                <w:lang w:eastAsia="ar-SA"/>
              </w:rPr>
            </w:pPr>
            <w:r>
              <w:rPr>
                <w:rFonts w:eastAsia="Times New Roman" w:cs="Times New Roman"/>
                <w:b/>
                <w:color w:val="000000"/>
                <w:lang w:eastAsia="ar-SA"/>
              </w:rPr>
              <w:t xml:space="preserve">Заказчик</w:t>
            </w:r>
            <w:r>
              <w:rPr>
                <w:rFonts w:eastAsia="Times New Roman" w:cs="Times New Roman"/>
                <w:b/>
                <w:color w:val="000000"/>
                <w:lang w:eastAsia="ar-SA"/>
              </w:rPr>
              <w:t xml:space="preserve">:</w:t>
            </w:r>
            <w:r>
              <w:rPr>
                <w:rFonts w:eastAsia="Times New Roman" w:cs="Times New Roman"/>
                <w:color w:val="000000"/>
                <w:lang w:eastAsia="ar-SA"/>
              </w:rPr>
            </w:r>
          </w:p>
        </w:tc>
      </w:tr>
      <w:tr>
        <w:tblPrEx/>
        <w:trPr/>
        <w:tc>
          <w:tcPr>
            <w:tcW w:w="4072" w:type="dxa"/>
            <w:textDirection w:val="lrTb"/>
            <w:noWrap w:val="false"/>
          </w:tcPr>
          <w:p>
            <w:pPr>
              <w:rPr>
                <w:rFonts w:eastAsia="Times New Roman" w:cs="Times New Roman"/>
                <w:b/>
                <w:i/>
                <w:color w:val="000000"/>
                <w:lang w:eastAsia="ar-SA"/>
              </w:rPr>
            </w:pPr>
            <w:r>
              <w:rPr>
                <w:rFonts w:cs="Times New Roman"/>
                <w:b/>
              </w:rPr>
              <w:t xml:space="preserve">ООО «ГАРАНТ-ПРОЕКТ</w:t>
            </w:r>
            <w:r>
              <w:rPr>
                <w:rFonts w:cs="Times New Roman"/>
                <w:b/>
              </w:rPr>
              <w:t xml:space="preserve">»</w:t>
            </w:r>
            <w:r>
              <w:rPr>
                <w:rFonts w:eastAsia="Times New Roman" w:cs="Times New Roman"/>
                <w:b/>
                <w:i/>
                <w:color w:val="000000"/>
                <w:lang w:eastAsia="ar-SA"/>
              </w:rPr>
            </w:r>
          </w:p>
        </w:tc>
        <w:tc>
          <w:tcPr>
            <w:tcW w:w="5391" w:type="dxa"/>
            <w:textDirection w:val="lrTb"/>
            <w:noWrap w:val="false"/>
          </w:tcPr>
          <w:p>
            <w:pPr>
              <w:pStyle w:val="709"/>
              <w:spacing w:after="0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ar-SA"/>
              </w:rPr>
            </w:r>
          </w:p>
        </w:tc>
      </w:tr>
      <w:tr>
        <w:tblPrEx/>
        <w:trPr>
          <w:trHeight w:val="1077"/>
        </w:trPr>
        <w:tc>
          <w:tcPr>
            <w:tcW w:w="4072" w:type="dxa"/>
            <w:textDirection w:val="lrTb"/>
            <w:noWrap w:val="false"/>
          </w:tcPr>
          <w:p>
            <w:pPr>
              <w:rPr>
                <w:rFonts w:eastAsia="Times New Roman" w:cs="Times New Roman"/>
                <w:lang w:eastAsia="ar-SA"/>
              </w:rPr>
            </w:pPr>
            <w:r>
              <w:rPr>
                <w:rFonts w:eastAsia="Times New Roman" w:cs="Times New Roman"/>
                <w:lang w:eastAsia="ar-SA"/>
              </w:rPr>
              <w:t xml:space="preserve">Управляющий  </w:t>
            </w:r>
            <w:r>
              <w:rPr>
                <w:rFonts w:eastAsia="Times New Roman" w:cs="Times New Roman"/>
                <w:lang w:eastAsia="ar-SA"/>
              </w:rPr>
            </w:r>
          </w:p>
          <w:p>
            <w:pPr>
              <w:rPr>
                <w:rFonts w:eastAsia="Times New Roman" w:cs="Times New Roman"/>
                <w:color w:val="000000"/>
                <w:lang w:eastAsia="ar-SA"/>
              </w:rPr>
            </w:pPr>
            <w:r>
              <w:rPr>
                <w:rFonts w:eastAsia="Times New Roman" w:cs="Times New Roman"/>
                <w:lang w:eastAsia="ar-SA"/>
              </w:rPr>
              <w:t xml:space="preserve">Веселовский</w:t>
            </w:r>
            <w:r>
              <w:rPr>
                <w:rFonts w:eastAsia="Times New Roman" w:cs="Times New Roman"/>
                <w:lang w:eastAsia="ar-SA"/>
              </w:rPr>
              <w:t xml:space="preserve"> Станислав Генрихович</w:t>
            </w:r>
            <w:r>
              <w:rPr>
                <w:rFonts w:eastAsia="Times New Roman" w:cs="Times New Roman"/>
                <w:color w:val="000000"/>
                <w:lang w:eastAsia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ar-SA"/>
              </w:rPr>
            </w:r>
          </w:p>
          <w:p>
            <w:pPr>
              <w:rPr>
                <w:rFonts w:eastAsia="Times New Roman" w:cs="Times New Roman"/>
                <w:color w:val="000000"/>
                <w:lang w:eastAsia="ar-SA"/>
              </w:rPr>
            </w:pPr>
            <w:r>
              <w:rPr>
                <w:rFonts w:eastAsia="Times New Roman" w:cs="Times New Roman"/>
                <w:color w:val="000000"/>
                <w:lang w:eastAsia="ar-SA"/>
              </w:rPr>
            </w:r>
            <w:r>
              <w:rPr>
                <w:rFonts w:eastAsia="Times New Roman" w:cs="Times New Roman"/>
                <w:color w:val="000000"/>
                <w:lang w:eastAsia="ar-SA"/>
              </w:rPr>
            </w:r>
          </w:p>
        </w:tc>
        <w:tc>
          <w:tcPr>
            <w:tcW w:w="5391" w:type="dxa"/>
            <w:textDirection w:val="lrTb"/>
            <w:noWrap w:val="false"/>
          </w:tcPr>
          <w:p>
            <w:pPr>
              <w:rPr>
                <w:rFonts w:cs="Times New Roman"/>
              </w:rPr>
            </w:pPr>
            <w:r/>
            <w:sdt>
              <w:sdtPr>
                <w15:appearance w15:val="boundingBox"/>
                <w:id w:val="-424802909"/>
                <w:placeholder>
                  <w:docPart w:val="EB3F7BF248324348A5BA576BD3654D94"/>
                </w:placeholder>
                <w:rPr>
                  <w:rFonts w:eastAsia="Times New Roman" w:cs="Times New Roman"/>
                  <w:lang w:eastAsia="ar-SA"/>
                </w:rPr>
              </w:sdtPr>
              <w:sdtContent>
                <w:r>
                  <w:rPr>
                    <w:rFonts w:eastAsia="Times New Roman" w:cs="Times New Roman"/>
                    <w:lang w:eastAsia="ar-SA"/>
                  </w:rPr>
                  <w:t xml:space="preserve">Генеральный директор</w:t>
                </w:r>
              </w:sdtContent>
            </w:sdt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</w:r>
          </w:p>
          <w:p>
            <w:pPr>
              <w:rPr>
                <w:rFonts w:eastAsia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/>
              </w:rPr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ar-SA"/>
              </w:rPr>
            </w:r>
          </w:p>
          <w:p>
            <w:pPr>
              <w:rPr>
                <w:rFonts w:eastAsia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/>
              </w:rPr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ar-SA"/>
              </w:rPr>
            </w:r>
          </w:p>
        </w:tc>
      </w:tr>
      <w:tr>
        <w:tblPrEx/>
        <w:trPr>
          <w:trHeight w:val="756"/>
        </w:trPr>
        <w:tc>
          <w:tcPr>
            <w:tcW w:w="4072" w:type="dxa"/>
            <w:textDirection w:val="lrTb"/>
            <w:noWrap w:val="false"/>
          </w:tcPr>
          <w:p>
            <w:pPr>
              <w:rPr>
                <w:rFonts w:eastAsia="Times New Roman" w:cs="Times New Roman"/>
                <w:color w:val="000000"/>
                <w:lang w:eastAsia="ar-SA"/>
              </w:rPr>
            </w:pPr>
            <w:r>
              <w:rPr>
                <w:rFonts w:eastAsia="Times New Roman" w:cs="Times New Roman"/>
                <w:color w:val="000000"/>
                <w:lang w:eastAsia="ar-SA"/>
              </w:rPr>
              <w:t xml:space="preserve">МП</w:t>
            </w:r>
            <w:r>
              <w:rPr>
                <w:rFonts w:eastAsia="Times New Roman" w:cs="Times New Roman"/>
                <w:color w:val="000000"/>
                <w:lang w:eastAsia="ar-SA"/>
              </w:rPr>
            </w:r>
          </w:p>
          <w:p>
            <w:pPr>
              <w:rPr>
                <w:rFonts w:eastAsia="Times New Roman" w:cs="Times New Roman"/>
                <w:color w:val="000000"/>
                <w:lang w:eastAsia="ar-SA"/>
              </w:rPr>
            </w:pPr>
            <w:r>
              <w:rPr>
                <w:rFonts w:eastAsia="Times New Roman" w:cs="Times New Roman"/>
                <w:color w:val="000000"/>
                <w:lang w:eastAsia="ar-SA"/>
              </w:rPr>
            </w:r>
            <w:r>
              <w:rPr>
                <w:rFonts w:eastAsia="Times New Roman" w:cs="Times New Roman"/>
                <w:color w:val="000000"/>
                <w:lang w:eastAsia="ar-SA"/>
              </w:rPr>
            </w:r>
          </w:p>
          <w:p>
            <w:pPr>
              <w:rPr>
                <w:rFonts w:eastAsia="Times New Roman" w:cs="Times New Roman"/>
                <w:color w:val="000000"/>
                <w:lang w:eastAsia="ar-SA"/>
              </w:rPr>
            </w:pPr>
            <w:r>
              <w:rPr>
                <w:rFonts w:eastAsia="Times New Roman" w:cs="Times New Roman"/>
                <w:color w:val="000000"/>
                <w:lang w:eastAsia="ar-SA"/>
              </w:rPr>
            </w:r>
            <w:r>
              <w:rPr>
                <w:rFonts w:eastAsia="Times New Roman" w:cs="Times New Roman"/>
                <w:color w:val="000000"/>
                <w:lang w:eastAsia="ar-SA"/>
              </w:rPr>
            </w:r>
          </w:p>
          <w:p>
            <w:pPr>
              <w:rPr>
                <w:rFonts w:eastAsia="Times New Roman" w:cs="Times New Roman"/>
                <w:color w:val="000000"/>
                <w:lang w:eastAsia="ar-SA"/>
              </w:rPr>
            </w:pPr>
            <w:r>
              <w:rPr>
                <w:rFonts w:eastAsia="Times New Roman" w:cs="Times New Roman"/>
                <w:color w:val="000000"/>
                <w:lang w:eastAsia="ar-SA"/>
              </w:rPr>
            </w:r>
            <w:r>
              <w:rPr>
                <w:rFonts w:eastAsia="Times New Roman" w:cs="Times New Roman"/>
                <w:color w:val="000000"/>
                <w:lang w:eastAsia="ar-SA"/>
              </w:rPr>
            </w:r>
          </w:p>
        </w:tc>
        <w:tc>
          <w:tcPr>
            <w:tcW w:w="5391" w:type="dxa"/>
            <w:textDirection w:val="lrTb"/>
            <w:noWrap w:val="false"/>
          </w:tcPr>
          <w:p>
            <w:pPr>
              <w:rPr>
                <w:rFonts w:eastAsia="Times New Roman" w:cs="Times New Roman"/>
                <w:color w:val="000000"/>
                <w:lang w:eastAsia="ar-SA"/>
              </w:rPr>
            </w:pPr>
            <w:r>
              <w:rPr>
                <w:rFonts w:eastAsia="Times New Roman" w:cs="Times New Roman"/>
                <w:color w:val="000000"/>
                <w:lang w:eastAsia="ar-SA"/>
              </w:rPr>
              <w:t xml:space="preserve">МП</w:t>
            </w:r>
            <w:r>
              <w:rPr>
                <w:rFonts w:eastAsia="Times New Roman" w:cs="Times New Roman"/>
                <w:color w:val="000000"/>
                <w:lang w:eastAsia="ar-SA"/>
              </w:rPr>
            </w:r>
          </w:p>
        </w:tc>
      </w:tr>
    </w:tbl>
    <w:p>
      <w:r/>
      <w:r/>
    </w:p>
    <w:sectPr>
      <w:headerReference w:type="defaul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ahoma">
    <w:panose1 w:val="020B0604030504040204"/>
  </w:font>
  <w:font w:name="SimSun">
    <w:panose1 w:val="02020603020101020101"/>
  </w:font>
  <w:font w:name="Courier New">
    <w:panose1 w:val="02070309020205020404"/>
  </w:font>
  <w:font w:name="Mangal">
    <w:panose1 w:val="0204050305040603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widowControl/>
      <w:rPr>
        <w:rFonts w:cs="Times New Roman" w:eastAsiaTheme="minorHAnsi"/>
        <w:b/>
        <w:lang w:eastAsia="en-US" w:bidi="ar-SA"/>
      </w:rPr>
    </w:pPr>
    <w:r>
      <w:rPr>
        <w:rFonts w:cs="Times New Roman" w:eastAsiaTheme="minorHAnsi"/>
        <w:b/>
        <w:lang w:eastAsia="en-US" w:bidi="ar-SA"/>
      </w:rPr>
      <w:t xml:space="preserve">Приложение № 1</w:t>
    </w:r>
    <w:r>
      <w:rPr>
        <w:rFonts w:cs="Times New Roman" w:eastAsiaTheme="minorHAnsi"/>
        <w:b/>
        <w:lang w:eastAsia="en-US" w:bidi="ar-SA"/>
      </w:rPr>
    </w:r>
  </w:p>
  <w:p>
    <w:pPr>
      <w:jc w:val="right"/>
      <w:widowControl/>
      <w:rPr>
        <w:rFonts w:eastAsia="Times New Roman" w:cs="Times New Roman"/>
        <w:lang w:eastAsia="ru-RU" w:bidi="ar-SA"/>
      </w:rPr>
    </w:pPr>
    <w:r>
      <w:rPr>
        <w:rFonts w:cs="Times New Roman" w:eastAsiaTheme="minorHAnsi"/>
        <w:lang w:eastAsia="en-US" w:bidi="ar-SA"/>
      </w:rPr>
      <w:t xml:space="preserve">к</w:t>
    </w:r>
    <w:r>
      <w:rPr>
        <w:rFonts w:cs="Times New Roman" w:eastAsiaTheme="minorHAnsi"/>
        <w:lang w:eastAsia="en-US" w:bidi="ar-SA"/>
      </w:rPr>
      <w:t xml:space="preserve"> </w:t>
    </w:r>
    <w:hyperlink r:id="rId1" w:tooltip="http://blanker.ru/" w:history="1">
      <w:r>
        <w:rPr>
          <w:rFonts w:eastAsia="Times New Roman" w:cs="Times New Roman"/>
          <w:lang w:eastAsia="ru-RU" w:bidi="ar-SA"/>
        </w:rPr>
        <w:t xml:space="preserve">Договору</w:t>
      </w:r>
      <w:r>
        <w:rPr>
          <w:rFonts w:eastAsia="Times New Roman" w:cs="Times New Roman"/>
          <w:lang w:eastAsia="ru-RU" w:bidi="ar-SA"/>
        </w:rPr>
        <w:t xml:space="preserve"> </w:t>
      </w:r>
      <w:r>
        <w:rPr>
          <w:rFonts w:eastAsia="Times New Roman" w:cs="Times New Roman"/>
          <w:lang w:eastAsia="ru-RU" w:bidi="ar-SA"/>
        </w:rPr>
        <w:t xml:space="preserve"> услуг</w:t>
      </w:r>
    </w:hyperlink>
    <w:r>
      <w:rPr>
        <w:rFonts w:eastAsia="Times New Roman" w:cs="Times New Roman"/>
        <w:lang w:eastAsia="ru-RU" w:bidi="ar-SA"/>
      </w:rPr>
      <w:t xml:space="preserve"> </w:t>
    </w:r>
    <w:r>
      <w:rPr>
        <w:rFonts w:eastAsia="Times New Roman" w:cs="Times New Roman"/>
        <w:lang w:eastAsia="ru-RU" w:bidi="ar-SA"/>
      </w:rPr>
    </w:r>
  </w:p>
  <w:p>
    <w:pPr>
      <w:jc w:val="right"/>
      <w:widowControl/>
      <w:rPr>
        <w:rFonts w:eastAsia="Times New Roman" w:cs="Times New Roman"/>
        <w:lang w:eastAsia="ru-RU" w:bidi="ar-SA"/>
      </w:rPr>
    </w:pPr>
    <w:r>
      <w:rPr>
        <w:rFonts w:eastAsia="Times New Roman" w:cs="Times New Roman"/>
        <w:lang w:eastAsia="ru-RU" w:bidi="ar-SA"/>
      </w:rPr>
      <w:t xml:space="preserve">№ ______________</w:t>
    </w:r>
    <w:r>
      <w:rPr>
        <w:rFonts w:eastAsia="Times New Roman" w:cs="Times New Roman"/>
        <w:lang w:eastAsia="ru-RU" w:bidi="ar-SA"/>
      </w:rPr>
    </w:r>
  </w:p>
  <w:p>
    <w:pPr>
      <w:jc w:val="right"/>
      <w:widowControl/>
      <w:rPr>
        <w:rFonts w:eastAsia="Times New Roman" w:cs="Times New Roman"/>
        <w:lang w:eastAsia="ru-RU" w:bidi="ar-SA"/>
      </w:rPr>
    </w:pPr>
    <w:r>
      <w:rPr>
        <w:rFonts w:eastAsia="Times New Roman" w:cs="Times New Roman"/>
        <w:lang w:eastAsia="ru-RU" w:bidi="ar-SA"/>
      </w:rPr>
      <w:t xml:space="preserve">о</w:t>
    </w:r>
    <w:r>
      <w:rPr>
        <w:rFonts w:eastAsia="Times New Roman" w:cs="Times New Roman"/>
        <w:lang w:eastAsia="ru-RU" w:bidi="ar-SA"/>
      </w:rPr>
      <w:t xml:space="preserve">т  </w:t>
    </w:r>
    <w:r>
      <w:rPr>
        <w:rFonts w:eastAsia="Times New Roman" w:cs="Times New Roman"/>
        <w:lang w:eastAsia="ru-RU" w:bidi="ar-SA"/>
      </w:rPr>
      <w:t xml:space="preserve">«___</w:t>
    </w:r>
    <w:r>
      <w:rPr>
        <w:rFonts w:eastAsia="Times New Roman" w:cs="Times New Roman"/>
        <w:lang w:eastAsia="ru-RU" w:bidi="ar-SA"/>
      </w:rPr>
      <w:t xml:space="preserve">»</w:t>
    </w:r>
    <w:r>
      <w:rPr>
        <w:rFonts w:eastAsia="Times New Roman" w:cs="Times New Roman"/>
        <w:lang w:eastAsia="ru-RU" w:bidi="ar-SA"/>
      </w:rPr>
      <w:t xml:space="preserve"> </w:t>
    </w:r>
    <w:r>
      <w:rPr>
        <w:rFonts w:eastAsia="Times New Roman" w:cs="Times New Roman"/>
        <w:lang w:eastAsia="ru-RU" w:bidi="ar-SA"/>
      </w:rPr>
      <w:t xml:space="preserve">_______2026</w:t>
    </w:r>
    <w:r>
      <w:rPr>
        <w:rFonts w:eastAsia="Times New Roman" w:cs="Times New Roman"/>
        <w:lang w:eastAsia="ru-RU" w:bidi="ar-SA"/>
      </w:rPr>
      <w:t xml:space="preserve"> г.</w:t>
    </w:r>
    <w:r>
      <w:rPr>
        <w:rFonts w:eastAsia="Times New Roman" w:cs="Times New Roman"/>
        <w:lang w:eastAsia="ru-RU" w:bidi="ar-SA"/>
      </w:rPr>
    </w:r>
  </w:p>
  <w:p>
    <w:pPr>
      <w:pStyle w:val="7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 w:eastAsia="SimSun" w:cs="Manga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94"/>
    <w:next w:val="69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9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94"/>
    <w:next w:val="69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9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94"/>
    <w:next w:val="69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9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94"/>
    <w:next w:val="69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9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94"/>
    <w:next w:val="69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9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94"/>
    <w:next w:val="69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9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94"/>
    <w:next w:val="69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9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94"/>
    <w:next w:val="69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9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94"/>
    <w:next w:val="69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9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94"/>
    <w:next w:val="69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95"/>
    <w:link w:val="35"/>
    <w:uiPriority w:val="10"/>
    <w:rPr>
      <w:sz w:val="48"/>
      <w:szCs w:val="48"/>
    </w:rPr>
  </w:style>
  <w:style w:type="paragraph" w:styleId="37">
    <w:name w:val="Subtitle"/>
    <w:basedOn w:val="694"/>
    <w:next w:val="69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95"/>
    <w:link w:val="37"/>
    <w:uiPriority w:val="11"/>
    <w:rPr>
      <w:sz w:val="24"/>
      <w:szCs w:val="24"/>
    </w:rPr>
  </w:style>
  <w:style w:type="paragraph" w:styleId="39">
    <w:name w:val="Quote"/>
    <w:basedOn w:val="694"/>
    <w:next w:val="69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94"/>
    <w:next w:val="69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95"/>
    <w:link w:val="701"/>
    <w:uiPriority w:val="99"/>
  </w:style>
  <w:style w:type="character" w:styleId="46">
    <w:name w:val="Footer Char"/>
    <w:basedOn w:val="695"/>
    <w:link w:val="703"/>
    <w:uiPriority w:val="99"/>
  </w:style>
  <w:style w:type="paragraph" w:styleId="47">
    <w:name w:val="Caption"/>
    <w:basedOn w:val="694"/>
    <w:next w:val="69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95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9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95"/>
    <w:uiPriority w:val="99"/>
    <w:unhideWhenUsed/>
    <w:rPr>
      <w:vertAlign w:val="superscript"/>
    </w:rPr>
  </w:style>
  <w:style w:type="paragraph" w:styleId="179">
    <w:name w:val="endnote text"/>
    <w:basedOn w:val="69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95"/>
    <w:uiPriority w:val="99"/>
    <w:semiHidden/>
    <w:unhideWhenUsed/>
    <w:rPr>
      <w:vertAlign w:val="superscript"/>
    </w:rPr>
  </w:style>
  <w:style w:type="paragraph" w:styleId="182">
    <w:name w:val="toc 1"/>
    <w:basedOn w:val="694"/>
    <w:next w:val="69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94"/>
    <w:next w:val="69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94"/>
    <w:next w:val="69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94"/>
    <w:next w:val="69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94"/>
    <w:next w:val="69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94"/>
    <w:next w:val="69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94"/>
    <w:next w:val="69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94"/>
    <w:next w:val="69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94"/>
    <w:next w:val="69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94"/>
    <w:next w:val="694"/>
    <w:uiPriority w:val="99"/>
    <w:unhideWhenUsed/>
    <w:pPr>
      <w:spacing w:after="0" w:afterAutospacing="0"/>
    </w:pPr>
  </w:style>
  <w:style w:type="paragraph" w:styleId="694" w:default="1">
    <w:name w:val="Normal"/>
    <w:qFormat/>
    <w:pPr>
      <w:spacing w:after="0" w:line="240" w:lineRule="auto"/>
      <w:widowControl w:val="off"/>
    </w:pPr>
    <w:rPr>
      <w:rFonts w:ascii="Times New Roman" w:hAnsi="Times New Roman" w:eastAsia="SimSun" w:cs="Mangal"/>
      <w:sz w:val="24"/>
      <w:szCs w:val="24"/>
      <w:lang w:eastAsia="zh-CN" w:bidi="hi-IN"/>
    </w:rPr>
  </w:style>
  <w:style w:type="character" w:styleId="695" w:default="1">
    <w:name w:val="Default Paragraph Font"/>
    <w:uiPriority w:val="1"/>
    <w:semiHidden/>
    <w:unhideWhenUsed/>
  </w:style>
  <w:style w:type="table" w:styleId="6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7" w:default="1">
    <w:name w:val="No List"/>
    <w:uiPriority w:val="99"/>
    <w:semiHidden/>
    <w:unhideWhenUsed/>
  </w:style>
  <w:style w:type="character" w:styleId="698" w:customStyle="1">
    <w:name w:val="Основной текст (2)_"/>
    <w:rPr>
      <w:rFonts w:ascii="Times New Roman" w:hAnsi="Times New Roman"/>
      <w:b w:val="0"/>
      <w:i w:val="0"/>
      <w:caps w:val="0"/>
      <w:smallCaps w:val="0"/>
      <w:strike w:val="0"/>
      <w:sz w:val="20"/>
      <w:szCs w:val="20"/>
      <w:u w:val="none"/>
    </w:rPr>
  </w:style>
  <w:style w:type="character" w:styleId="699" w:customStyle="1">
    <w:name w:val="Основной текст (2) + 11 pt"/>
    <w:rPr>
      <w:rFonts w:ascii="Times New Roman" w:hAnsi="Times New Roman"/>
      <w:b/>
      <w:i w:val="0"/>
      <w:caps w:val="0"/>
      <w:smallCaps w:val="0"/>
      <w:strike w:val="0"/>
      <w:sz w:val="22"/>
      <w:szCs w:val="22"/>
      <w:u w:val="none"/>
    </w:rPr>
  </w:style>
  <w:style w:type="paragraph" w:styleId="700" w:customStyle="1">
    <w:name w:val="Основной текст (2)"/>
    <w:pPr>
      <w:spacing w:after="180" w:line="240" w:lineRule="auto"/>
      <w:shd w:val="clear" w:color="auto" w:fill="ffffff"/>
      <w:widowControl w:val="off"/>
    </w:pPr>
    <w:rPr>
      <w:rFonts w:ascii="Times New Roman" w:hAnsi="Times New Roman" w:eastAsia="SimSun" w:cs="Mangal"/>
      <w:sz w:val="20"/>
      <w:szCs w:val="20"/>
      <w:lang w:eastAsia="zh-CN" w:bidi="hi-IN"/>
    </w:rPr>
  </w:style>
  <w:style w:type="paragraph" w:styleId="701">
    <w:name w:val="Header"/>
    <w:basedOn w:val="694"/>
    <w:link w:val="702"/>
    <w:uiPriority w:val="99"/>
    <w:unhideWhenUsed/>
    <w:pPr>
      <w:tabs>
        <w:tab w:val="center" w:pos="4677" w:leader="none"/>
        <w:tab w:val="right" w:pos="9355" w:leader="none"/>
      </w:tabs>
    </w:pPr>
    <w:rPr>
      <w:szCs w:val="21"/>
    </w:rPr>
  </w:style>
  <w:style w:type="character" w:styleId="702" w:customStyle="1">
    <w:name w:val="Верхний колонтитул Знак"/>
    <w:basedOn w:val="695"/>
    <w:link w:val="701"/>
    <w:uiPriority w:val="99"/>
    <w:rPr>
      <w:rFonts w:ascii="Times New Roman" w:hAnsi="Times New Roman" w:eastAsia="SimSun" w:cs="Mangal"/>
      <w:sz w:val="24"/>
      <w:szCs w:val="21"/>
      <w:lang w:eastAsia="zh-CN" w:bidi="hi-IN"/>
    </w:rPr>
  </w:style>
  <w:style w:type="paragraph" w:styleId="703">
    <w:name w:val="Footer"/>
    <w:basedOn w:val="694"/>
    <w:link w:val="704"/>
    <w:uiPriority w:val="99"/>
    <w:unhideWhenUsed/>
    <w:pPr>
      <w:tabs>
        <w:tab w:val="center" w:pos="4677" w:leader="none"/>
        <w:tab w:val="right" w:pos="9355" w:leader="none"/>
      </w:tabs>
    </w:pPr>
    <w:rPr>
      <w:szCs w:val="21"/>
    </w:rPr>
  </w:style>
  <w:style w:type="character" w:styleId="704" w:customStyle="1">
    <w:name w:val="Нижний колонтитул Знак"/>
    <w:basedOn w:val="695"/>
    <w:link w:val="703"/>
    <w:uiPriority w:val="99"/>
    <w:rPr>
      <w:rFonts w:ascii="Times New Roman" w:hAnsi="Times New Roman" w:eastAsia="SimSun" w:cs="Mangal"/>
      <w:sz w:val="24"/>
      <w:szCs w:val="21"/>
      <w:lang w:eastAsia="zh-CN" w:bidi="hi-IN"/>
    </w:rPr>
  </w:style>
  <w:style w:type="paragraph" w:styleId="705">
    <w:name w:val="List Paragraph"/>
    <w:basedOn w:val="694"/>
    <w:uiPriority w:val="34"/>
    <w:qFormat/>
    <w:pPr>
      <w:contextualSpacing/>
      <w:ind w:left="720"/>
    </w:pPr>
    <w:rPr>
      <w:szCs w:val="21"/>
    </w:rPr>
  </w:style>
  <w:style w:type="paragraph" w:styleId="706">
    <w:name w:val="No Spacing"/>
    <w:uiPriority w:val="1"/>
    <w:qFormat/>
    <w:pPr>
      <w:spacing w:after="0" w:line="240" w:lineRule="auto"/>
      <w:widowControl w:val="off"/>
    </w:pPr>
    <w:rPr>
      <w:rFonts w:ascii="Times New Roman" w:hAnsi="Times New Roman" w:eastAsia="SimSun" w:cs="Mangal"/>
      <w:sz w:val="24"/>
      <w:szCs w:val="21"/>
      <w:lang w:eastAsia="zh-CN" w:bidi="hi-IN"/>
    </w:rPr>
  </w:style>
  <w:style w:type="character" w:styleId="707">
    <w:name w:val="Hyperlink"/>
    <w:basedOn w:val="695"/>
    <w:uiPriority w:val="99"/>
    <w:unhideWhenUsed/>
    <w:rPr>
      <w:color w:val="0000ff" w:themeColor="hyperlink"/>
      <w:u w:val="single"/>
    </w:rPr>
  </w:style>
  <w:style w:type="table" w:styleId="708">
    <w:name w:val="Table Grid"/>
    <w:basedOn w:val="69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09">
    <w:name w:val="Body Text"/>
    <w:basedOn w:val="694"/>
    <w:link w:val="710"/>
    <w:unhideWhenUsed/>
    <w:pPr>
      <w:spacing w:after="140" w:line="276" w:lineRule="auto"/>
      <w:widowControl/>
    </w:pPr>
    <w:rPr>
      <w:rFonts w:asciiTheme="minorHAnsi" w:hAnsiTheme="minorHAnsi" w:eastAsiaTheme="minorHAnsi" w:cstheme="minorBidi"/>
      <w:sz w:val="22"/>
      <w:szCs w:val="22"/>
      <w:lang w:eastAsia="en-US" w:bidi="ar-SA"/>
    </w:rPr>
  </w:style>
  <w:style w:type="character" w:styleId="710" w:customStyle="1">
    <w:name w:val="Основной текст Знак"/>
    <w:basedOn w:val="695"/>
    <w:link w:val="709"/>
  </w:style>
  <w:style w:type="paragraph" w:styleId="711">
    <w:name w:val="Balloon Text"/>
    <w:basedOn w:val="694"/>
    <w:link w:val="712"/>
    <w:uiPriority w:val="99"/>
    <w:semiHidden/>
    <w:unhideWhenUsed/>
    <w:rPr>
      <w:rFonts w:ascii="Tahoma" w:hAnsi="Tahoma"/>
      <w:sz w:val="16"/>
      <w:szCs w:val="14"/>
    </w:rPr>
  </w:style>
  <w:style w:type="character" w:styleId="712" w:customStyle="1">
    <w:name w:val="Текст выноски Знак"/>
    <w:basedOn w:val="695"/>
    <w:link w:val="711"/>
    <w:uiPriority w:val="99"/>
    <w:semiHidden/>
    <w:rPr>
      <w:rFonts w:ascii="Tahoma" w:hAnsi="Tahoma" w:eastAsia="SimSun" w:cs="Mangal"/>
      <w:sz w:val="16"/>
      <w:szCs w:val="14"/>
      <w:lang w:eastAsia="zh-C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hyperlink" Target="mailto:info@garantp.co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://blanker.ru/" TargetMode="External"/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EB3F7BF248324348A5BA576BD3654D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BD96C5-774C-4609-948D-216BB2B9AFC9}"/>
      </w:docPartPr>
      <w:docPartBody>
        <w:p>
          <w:pPr>
            <w:pStyle w:val="1149"/>
          </w:pPr>
          <w:r>
            <w:rPr>
              <w:rStyle w:val="1148"/>
            </w:rPr>
            <w:t xml:space="preserve">Место для ввода текста.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51">
    <w:name w:val="Heading 1"/>
    <w:basedOn w:val="1144"/>
    <w:next w:val="1144"/>
    <w:link w:val="25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252">
    <w:name w:val="Heading 1 Char"/>
    <w:basedOn w:val="1145"/>
    <w:link w:val="25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253">
    <w:name w:val="Heading 2"/>
    <w:basedOn w:val="1144"/>
    <w:next w:val="1144"/>
    <w:link w:val="25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254">
    <w:name w:val="Heading 2 Char"/>
    <w:basedOn w:val="1145"/>
    <w:link w:val="253"/>
    <w:uiPriority w:val="9"/>
    <w:rPr>
      <w:rFonts w:ascii="Liberation Sans" w:hAnsi="Liberation Sans" w:eastAsia="Liberation Sans" w:cs="Liberation Sans"/>
      <w:sz w:val="34"/>
    </w:rPr>
  </w:style>
  <w:style w:type="paragraph" w:styleId="255">
    <w:name w:val="Heading 3"/>
    <w:basedOn w:val="1144"/>
    <w:next w:val="1144"/>
    <w:link w:val="25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56">
    <w:name w:val="Heading 3 Char"/>
    <w:basedOn w:val="1145"/>
    <w:link w:val="25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57">
    <w:name w:val="Heading 4"/>
    <w:basedOn w:val="1144"/>
    <w:next w:val="1144"/>
    <w:link w:val="25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58">
    <w:name w:val="Heading 4 Char"/>
    <w:basedOn w:val="1145"/>
    <w:link w:val="25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59">
    <w:name w:val="Heading 5"/>
    <w:basedOn w:val="1144"/>
    <w:next w:val="1144"/>
    <w:link w:val="26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0">
    <w:name w:val="Heading 5 Char"/>
    <w:basedOn w:val="1145"/>
    <w:link w:val="2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61">
    <w:name w:val="Heading 6"/>
    <w:basedOn w:val="1144"/>
    <w:next w:val="1144"/>
    <w:link w:val="26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2">
    <w:name w:val="Heading 6 Char"/>
    <w:basedOn w:val="1145"/>
    <w:link w:val="2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3">
    <w:name w:val="Heading 7"/>
    <w:basedOn w:val="1144"/>
    <w:next w:val="1144"/>
    <w:link w:val="26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64">
    <w:name w:val="Heading 7 Char"/>
    <w:basedOn w:val="1145"/>
    <w:link w:val="2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65">
    <w:name w:val="Heading 8"/>
    <w:basedOn w:val="1144"/>
    <w:next w:val="1144"/>
    <w:link w:val="26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66">
    <w:name w:val="Heading 8 Char"/>
    <w:basedOn w:val="1145"/>
    <w:link w:val="2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267">
    <w:name w:val="Heading 9"/>
    <w:basedOn w:val="1144"/>
    <w:next w:val="1144"/>
    <w:link w:val="26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268">
    <w:name w:val="Heading 9 Char"/>
    <w:basedOn w:val="1145"/>
    <w:link w:val="2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269">
    <w:name w:val="List Paragraph"/>
    <w:basedOn w:val="1144"/>
    <w:uiPriority w:val="34"/>
    <w:qFormat/>
    <w:pPr>
      <w:contextualSpacing/>
      <w:ind w:left="720"/>
    </w:pPr>
  </w:style>
  <w:style w:type="paragraph" w:styleId="271">
    <w:name w:val="No Spacing"/>
    <w:uiPriority w:val="1"/>
    <w:qFormat/>
    <w:pPr>
      <w:spacing w:before="0" w:after="0" w:line="240" w:lineRule="auto"/>
    </w:pPr>
  </w:style>
  <w:style w:type="paragraph" w:styleId="272">
    <w:name w:val="Title"/>
    <w:basedOn w:val="1144"/>
    <w:next w:val="1144"/>
    <w:link w:val="2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73">
    <w:name w:val="Title Char"/>
    <w:basedOn w:val="1145"/>
    <w:link w:val="272"/>
    <w:uiPriority w:val="10"/>
    <w:rPr>
      <w:sz w:val="48"/>
      <w:szCs w:val="48"/>
    </w:rPr>
  </w:style>
  <w:style w:type="paragraph" w:styleId="274">
    <w:name w:val="Subtitle"/>
    <w:basedOn w:val="1144"/>
    <w:next w:val="1144"/>
    <w:link w:val="275"/>
    <w:uiPriority w:val="11"/>
    <w:qFormat/>
    <w:pPr>
      <w:spacing w:before="200" w:after="200"/>
    </w:pPr>
    <w:rPr>
      <w:sz w:val="24"/>
      <w:szCs w:val="24"/>
    </w:rPr>
  </w:style>
  <w:style w:type="character" w:styleId="275">
    <w:name w:val="Subtitle Char"/>
    <w:basedOn w:val="1145"/>
    <w:link w:val="274"/>
    <w:uiPriority w:val="11"/>
    <w:rPr>
      <w:sz w:val="24"/>
      <w:szCs w:val="24"/>
    </w:rPr>
  </w:style>
  <w:style w:type="paragraph" w:styleId="276">
    <w:name w:val="Quote"/>
    <w:basedOn w:val="1144"/>
    <w:next w:val="1144"/>
    <w:link w:val="277"/>
    <w:uiPriority w:val="29"/>
    <w:qFormat/>
    <w:pPr>
      <w:ind w:left="720" w:right="720"/>
    </w:pPr>
    <w:rPr>
      <w:i/>
    </w:rPr>
  </w:style>
  <w:style w:type="character" w:styleId="277">
    <w:name w:val="Quote Char"/>
    <w:link w:val="276"/>
    <w:uiPriority w:val="29"/>
    <w:rPr>
      <w:i/>
    </w:rPr>
  </w:style>
  <w:style w:type="paragraph" w:styleId="278">
    <w:name w:val="Intense Quote"/>
    <w:basedOn w:val="1144"/>
    <w:next w:val="1144"/>
    <w:link w:val="2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79">
    <w:name w:val="Intense Quote Char"/>
    <w:link w:val="278"/>
    <w:uiPriority w:val="30"/>
    <w:rPr>
      <w:i/>
    </w:rPr>
  </w:style>
  <w:style w:type="paragraph" w:styleId="280">
    <w:name w:val="Header"/>
    <w:basedOn w:val="1144"/>
    <w:link w:val="2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1">
    <w:name w:val="Header Char"/>
    <w:basedOn w:val="1145"/>
    <w:link w:val="280"/>
    <w:uiPriority w:val="99"/>
  </w:style>
  <w:style w:type="paragraph" w:styleId="282">
    <w:name w:val="Footer"/>
    <w:basedOn w:val="1144"/>
    <w:link w:val="2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3">
    <w:name w:val="Footer Char"/>
    <w:basedOn w:val="1145"/>
    <w:link w:val="282"/>
    <w:uiPriority w:val="99"/>
  </w:style>
  <w:style w:type="paragraph" w:styleId="284">
    <w:name w:val="Caption"/>
    <w:basedOn w:val="1144"/>
    <w:next w:val="1144"/>
    <w:link w:val="2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285">
    <w:name w:val="Caption Char"/>
    <w:basedOn w:val="1145"/>
    <w:link w:val="284"/>
    <w:uiPriority w:val="35"/>
    <w:rPr>
      <w:b/>
      <w:bCs/>
      <w:color w:val="4f81bd" w:themeColor="accent1"/>
      <w:sz w:val="18"/>
      <w:szCs w:val="18"/>
    </w:rPr>
  </w:style>
  <w:style w:type="table" w:styleId="286">
    <w:name w:val="Table Grid"/>
    <w:basedOn w:val="114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7">
    <w:name w:val="Table Grid Light"/>
    <w:basedOn w:val="11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8">
    <w:name w:val="Plain Table 1"/>
    <w:basedOn w:val="11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89">
    <w:name w:val="Plain Table 2"/>
    <w:basedOn w:val="11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90">
    <w:name w:val="Plain Table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91">
    <w:name w:val="Plain Table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2">
    <w:name w:val="Plain Table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93">
    <w:name w:val="Grid Table 1 Light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4">
    <w:name w:val="Grid Table 1 Light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">
    <w:name w:val="Grid Table 1 Light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">
    <w:name w:val="Grid Table 1 Light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7">
    <w:name w:val="Grid Table 1 Light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8">
    <w:name w:val="Grid Table 1 Light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9">
    <w:name w:val="Grid Table 1 Light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00">
    <w:name w:val="Grid Table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1">
    <w:name w:val="Grid Table 2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2">
    <w:name w:val="Grid Table 2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3">
    <w:name w:val="Grid Table 2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4">
    <w:name w:val="Grid Table 2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5">
    <w:name w:val="Grid Table 2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6">
    <w:name w:val="Grid Table 2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7">
    <w:name w:val="Grid Table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8">
    <w:name w:val="Grid Table 3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9">
    <w:name w:val="Grid Table 3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0">
    <w:name w:val="Grid Table 3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1">
    <w:name w:val="Grid Table 3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2">
    <w:name w:val="Grid Table 3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3">
    <w:name w:val="Grid Table 3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4">
    <w:name w:val="Grid Table 4"/>
    <w:basedOn w:val="11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315">
    <w:name w:val="Grid Table 4 - Accent 1"/>
    <w:basedOn w:val="11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316">
    <w:name w:val="Grid Table 4 - Accent 2"/>
    <w:basedOn w:val="11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317">
    <w:name w:val="Grid Table 4 - Accent 3"/>
    <w:basedOn w:val="11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318">
    <w:name w:val="Grid Table 4 - Accent 4"/>
    <w:basedOn w:val="11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319">
    <w:name w:val="Grid Table 4 - Accent 5"/>
    <w:basedOn w:val="11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320">
    <w:name w:val="Grid Table 4 - Accent 6"/>
    <w:basedOn w:val="11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321">
    <w:name w:val="Grid Table 5 Dark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322">
    <w:name w:val="Grid Table 5 Dark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323">
    <w:name w:val="Grid Table 5 Dark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324">
    <w:name w:val="Grid Table 5 Dark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325">
    <w:name w:val="Grid Table 5 Dark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326">
    <w:name w:val="Grid Table 5 Dark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327">
    <w:name w:val="Grid Table 5 Dark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328">
    <w:name w:val="Grid Table 6 Colorful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329">
    <w:name w:val="Grid Table 6 Colorful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330">
    <w:name w:val="Grid Table 6 Colorful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331">
    <w:name w:val="Grid Table 6 Colorful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332">
    <w:name w:val="Grid Table 6 Colorful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333">
    <w:name w:val="Grid Table 6 Colorful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4">
    <w:name w:val="Grid Table 6 Colorful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5">
    <w:name w:val="Grid Table 7 Colorful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336">
    <w:name w:val="Grid Table 7 Colorful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337">
    <w:name w:val="Grid Table 7 Colorful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338">
    <w:name w:val="Grid Table 7 Colorful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339">
    <w:name w:val="Grid Table 7 Colorful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340">
    <w:name w:val="Grid Table 7 Colorful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341">
    <w:name w:val="Grid Table 7 Colorful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342">
    <w:name w:val="List Table 1 Light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3">
    <w:name w:val="List Table 1 Light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4">
    <w:name w:val="List Table 1 Light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5">
    <w:name w:val="List Table 1 Light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6">
    <w:name w:val="List Table 1 Light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7">
    <w:name w:val="List Table 1 Light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8">
    <w:name w:val="List Table 1 Light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9">
    <w:name w:val="List Table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350">
    <w:name w:val="List Table 2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351">
    <w:name w:val="List Table 2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352">
    <w:name w:val="List Table 2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353">
    <w:name w:val="List Table 2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354">
    <w:name w:val="List Table 2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355">
    <w:name w:val="List Table 2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356">
    <w:name w:val="List Table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7">
    <w:name w:val="List Table 3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8">
    <w:name w:val="List Table 3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9">
    <w:name w:val="List Table 3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0">
    <w:name w:val="List Table 3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1">
    <w:name w:val="List Table 3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2">
    <w:name w:val="List Table 3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3">
    <w:name w:val="List Table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4">
    <w:name w:val="List Table 4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5">
    <w:name w:val="List Table 4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6">
    <w:name w:val="List Table 4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7">
    <w:name w:val="List Table 4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8">
    <w:name w:val="List Table 4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9">
    <w:name w:val="List Table 4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70">
    <w:name w:val="List Table 5 Dark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1">
    <w:name w:val="List Table 5 Dark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2">
    <w:name w:val="List Table 5 Dark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3">
    <w:name w:val="List Table 5 Dark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4">
    <w:name w:val="List Table 5 Dark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5">
    <w:name w:val="List Table 5 Dark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6">
    <w:name w:val="List Table 5 Dark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7">
    <w:name w:val="List Table 6 Colorful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378">
    <w:name w:val="List Table 6 Colorful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379">
    <w:name w:val="List Table 6 Colorful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380">
    <w:name w:val="List Table 6 Colorful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381">
    <w:name w:val="List Table 6 Colorful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382">
    <w:name w:val="List Table 6 Colorful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383">
    <w:name w:val="List Table 6 Colorful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384">
    <w:name w:val="List Table 7 Colorful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385">
    <w:name w:val="List Table 7 Colorful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386">
    <w:name w:val="List Table 7 Colorful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387">
    <w:name w:val="List Table 7 Colorful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388">
    <w:name w:val="List Table 7 Colorful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389">
    <w:name w:val="List Table 7 Colorful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390">
    <w:name w:val="List Table 7 Colorful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391">
    <w:name w:val="Lined - Accent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2">
    <w:name w:val="Lined - Accent 1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393">
    <w:name w:val="Lined - Accent 2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394">
    <w:name w:val="Lined - Accent 3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395">
    <w:name w:val="Lined - Accent 4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396">
    <w:name w:val="Lined - Accent 5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397">
    <w:name w:val="Lined - Accent 6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398">
    <w:name w:val="Bordered &amp; Lined - Accent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9">
    <w:name w:val="Bordered &amp; Lined - Accent 1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400">
    <w:name w:val="Bordered &amp; Lined - Accent 2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401">
    <w:name w:val="Bordered &amp; Lined - Accent 3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402">
    <w:name w:val="Bordered &amp; Lined - Accent 4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403">
    <w:name w:val="Bordered &amp; Lined - Accent 5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404">
    <w:name w:val="Bordered &amp; Lined - Accent 6"/>
    <w:basedOn w:val="11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405">
    <w:name w:val="Bordered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406">
    <w:name w:val="Bordered - Accent 1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407">
    <w:name w:val="Bordered - Accent 2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408">
    <w:name w:val="Bordered - Accent 3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409">
    <w:name w:val="Bordered - Accent 4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410">
    <w:name w:val="Bordered - Accent 5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411">
    <w:name w:val="Bordered - Accent 6"/>
    <w:basedOn w:val="11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412">
    <w:name w:val="Hyperlink"/>
    <w:uiPriority w:val="99"/>
    <w:unhideWhenUsed/>
    <w:rPr>
      <w:color w:val="0000ff" w:themeColor="hyperlink"/>
      <w:u w:val="single"/>
    </w:rPr>
  </w:style>
  <w:style w:type="paragraph" w:styleId="413">
    <w:name w:val="footnote text"/>
    <w:basedOn w:val="1144"/>
    <w:link w:val="414"/>
    <w:uiPriority w:val="99"/>
    <w:semiHidden/>
    <w:unhideWhenUsed/>
    <w:pPr>
      <w:spacing w:after="40" w:line="240" w:lineRule="auto"/>
    </w:pPr>
    <w:rPr>
      <w:sz w:val="18"/>
    </w:rPr>
  </w:style>
  <w:style w:type="character" w:styleId="414">
    <w:name w:val="Footnote Text Char"/>
    <w:link w:val="413"/>
    <w:uiPriority w:val="99"/>
    <w:rPr>
      <w:sz w:val="18"/>
    </w:rPr>
  </w:style>
  <w:style w:type="character" w:styleId="415">
    <w:name w:val="footnote reference"/>
    <w:basedOn w:val="1145"/>
    <w:uiPriority w:val="99"/>
    <w:unhideWhenUsed/>
    <w:rPr>
      <w:vertAlign w:val="superscript"/>
    </w:rPr>
  </w:style>
  <w:style w:type="paragraph" w:styleId="416">
    <w:name w:val="endnote text"/>
    <w:basedOn w:val="1144"/>
    <w:link w:val="417"/>
    <w:uiPriority w:val="99"/>
    <w:semiHidden/>
    <w:unhideWhenUsed/>
    <w:pPr>
      <w:spacing w:after="0" w:line="240" w:lineRule="auto"/>
    </w:pPr>
    <w:rPr>
      <w:sz w:val="20"/>
    </w:rPr>
  </w:style>
  <w:style w:type="character" w:styleId="417">
    <w:name w:val="Endnote Text Char"/>
    <w:link w:val="416"/>
    <w:uiPriority w:val="99"/>
    <w:rPr>
      <w:sz w:val="20"/>
    </w:rPr>
  </w:style>
  <w:style w:type="character" w:styleId="418">
    <w:name w:val="endnote reference"/>
    <w:basedOn w:val="1145"/>
    <w:uiPriority w:val="99"/>
    <w:semiHidden/>
    <w:unhideWhenUsed/>
    <w:rPr>
      <w:vertAlign w:val="superscript"/>
    </w:rPr>
  </w:style>
  <w:style w:type="paragraph" w:styleId="419">
    <w:name w:val="toc 1"/>
    <w:basedOn w:val="1144"/>
    <w:next w:val="1144"/>
    <w:uiPriority w:val="39"/>
    <w:unhideWhenUsed/>
    <w:pPr>
      <w:ind w:left="0" w:right="0" w:firstLine="0"/>
      <w:spacing w:after="57"/>
    </w:pPr>
  </w:style>
  <w:style w:type="paragraph" w:styleId="420">
    <w:name w:val="toc 2"/>
    <w:basedOn w:val="1144"/>
    <w:next w:val="1144"/>
    <w:uiPriority w:val="39"/>
    <w:unhideWhenUsed/>
    <w:pPr>
      <w:ind w:left="283" w:right="0" w:firstLine="0"/>
      <w:spacing w:after="57"/>
    </w:pPr>
  </w:style>
  <w:style w:type="paragraph" w:styleId="421">
    <w:name w:val="toc 3"/>
    <w:basedOn w:val="1144"/>
    <w:next w:val="1144"/>
    <w:uiPriority w:val="39"/>
    <w:unhideWhenUsed/>
    <w:pPr>
      <w:ind w:left="567" w:right="0" w:firstLine="0"/>
      <w:spacing w:after="57"/>
    </w:pPr>
  </w:style>
  <w:style w:type="paragraph" w:styleId="422">
    <w:name w:val="toc 4"/>
    <w:basedOn w:val="1144"/>
    <w:next w:val="1144"/>
    <w:uiPriority w:val="39"/>
    <w:unhideWhenUsed/>
    <w:pPr>
      <w:ind w:left="850" w:right="0" w:firstLine="0"/>
      <w:spacing w:after="57"/>
    </w:pPr>
  </w:style>
  <w:style w:type="paragraph" w:styleId="423">
    <w:name w:val="toc 5"/>
    <w:basedOn w:val="1144"/>
    <w:next w:val="1144"/>
    <w:uiPriority w:val="39"/>
    <w:unhideWhenUsed/>
    <w:pPr>
      <w:ind w:left="1134" w:right="0" w:firstLine="0"/>
      <w:spacing w:after="57"/>
    </w:pPr>
  </w:style>
  <w:style w:type="paragraph" w:styleId="424">
    <w:name w:val="toc 6"/>
    <w:basedOn w:val="1144"/>
    <w:next w:val="1144"/>
    <w:uiPriority w:val="39"/>
    <w:unhideWhenUsed/>
    <w:pPr>
      <w:ind w:left="1417" w:right="0" w:firstLine="0"/>
      <w:spacing w:after="57"/>
    </w:pPr>
  </w:style>
  <w:style w:type="paragraph" w:styleId="425">
    <w:name w:val="toc 7"/>
    <w:basedOn w:val="1144"/>
    <w:next w:val="1144"/>
    <w:uiPriority w:val="39"/>
    <w:unhideWhenUsed/>
    <w:pPr>
      <w:ind w:left="1701" w:right="0" w:firstLine="0"/>
      <w:spacing w:after="57"/>
    </w:pPr>
  </w:style>
  <w:style w:type="paragraph" w:styleId="426">
    <w:name w:val="toc 8"/>
    <w:basedOn w:val="1144"/>
    <w:next w:val="1144"/>
    <w:uiPriority w:val="39"/>
    <w:unhideWhenUsed/>
    <w:pPr>
      <w:ind w:left="1984" w:right="0" w:firstLine="0"/>
      <w:spacing w:after="57"/>
    </w:pPr>
  </w:style>
  <w:style w:type="paragraph" w:styleId="427">
    <w:name w:val="toc 9"/>
    <w:basedOn w:val="1144"/>
    <w:next w:val="1144"/>
    <w:uiPriority w:val="39"/>
    <w:unhideWhenUsed/>
    <w:pPr>
      <w:ind w:left="2268" w:right="0" w:firstLine="0"/>
      <w:spacing w:after="57"/>
    </w:pPr>
  </w:style>
  <w:style w:type="paragraph" w:styleId="428">
    <w:name w:val="TOC Heading"/>
    <w:uiPriority w:val="39"/>
    <w:unhideWhenUsed/>
  </w:style>
  <w:style w:type="paragraph" w:styleId="429">
    <w:name w:val="table of figures"/>
    <w:basedOn w:val="1144"/>
    <w:next w:val="1144"/>
    <w:uiPriority w:val="99"/>
    <w:unhideWhenUsed/>
    <w:pPr>
      <w:spacing w:after="0" w:afterAutospacing="0"/>
    </w:pPr>
  </w:style>
  <w:style w:type="paragraph" w:styleId="1144" w:default="1">
    <w:name w:val="Normal"/>
    <w:qFormat/>
  </w:style>
  <w:style w:type="character" w:styleId="1145" w:default="1">
    <w:name w:val="Default Paragraph Font"/>
    <w:uiPriority w:val="1"/>
    <w:semiHidden/>
    <w:unhideWhenUsed/>
  </w:style>
  <w:style w:type="table" w:styleId="11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47" w:default="1">
    <w:name w:val="No List"/>
    <w:uiPriority w:val="99"/>
    <w:semiHidden/>
    <w:unhideWhenUsed/>
  </w:style>
  <w:style w:type="character" w:styleId="1148">
    <w:name w:val="Placeholder Text"/>
    <w:basedOn w:val="1145"/>
    <w:uiPriority w:val="99"/>
    <w:semiHidden/>
  </w:style>
  <w:style w:type="paragraph" w:styleId="1149" w:customStyle="1">
    <w:name w:val="EB3F7BF248324348A5BA576BD3654D94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Борис Савельев</cp:lastModifiedBy>
  <cp:revision>24</cp:revision>
  <dcterms:created xsi:type="dcterms:W3CDTF">2025-07-09T14:30:00Z</dcterms:created>
  <dcterms:modified xsi:type="dcterms:W3CDTF">2026-09-15T11:04:43Z</dcterms:modified>
</cp:coreProperties>
</file>